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jc w:val="center"/>
        <w:tblInd w:w="-132" w:type="dxa"/>
        <w:tblLook w:val="01E0"/>
      </w:tblPr>
      <w:tblGrid>
        <w:gridCol w:w="3588"/>
        <w:gridCol w:w="5892"/>
      </w:tblGrid>
      <w:tr w:rsidR="00225822" w:rsidRPr="001F4CB8">
        <w:trPr>
          <w:jc w:val="center"/>
        </w:trPr>
        <w:tc>
          <w:tcPr>
            <w:tcW w:w="3588" w:type="dxa"/>
          </w:tcPr>
          <w:p w:rsidR="00225822" w:rsidRPr="001F4CB8" w:rsidRDefault="00724AB5" w:rsidP="0031330A">
            <w:pPr>
              <w:jc w:val="center"/>
              <w:rPr>
                <w:b/>
                <w:color w:val="auto"/>
              </w:rPr>
            </w:pPr>
            <w:r w:rsidRPr="001F4CB8">
              <w:rPr>
                <w:b/>
                <w:color w:val="auto"/>
              </w:rPr>
              <w:t>BỘ TÀI CHÍNH</w:t>
            </w:r>
          </w:p>
          <w:p w:rsidR="00225822" w:rsidRPr="001F4CB8" w:rsidRDefault="006475F1" w:rsidP="00266B0E">
            <w:pPr>
              <w:rPr>
                <w:b/>
                <w:color w:val="auto"/>
                <w:sz w:val="28"/>
                <w:szCs w:val="28"/>
              </w:rPr>
            </w:pPr>
            <w:r>
              <w:rPr>
                <w:b/>
                <w:color w:val="auto"/>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61.9pt;margin-top:5pt;width:42.1pt;height:0;z-index:251658240" o:connectortype="straight"/>
              </w:pict>
            </w:r>
          </w:p>
        </w:tc>
        <w:tc>
          <w:tcPr>
            <w:tcW w:w="5892" w:type="dxa"/>
          </w:tcPr>
          <w:p w:rsidR="00225822" w:rsidRPr="001F4CB8" w:rsidRDefault="00225822" w:rsidP="0031330A">
            <w:pPr>
              <w:jc w:val="center"/>
              <w:rPr>
                <w:b/>
                <w:color w:val="auto"/>
              </w:rPr>
            </w:pPr>
            <w:r w:rsidRPr="001F4CB8">
              <w:rPr>
                <w:b/>
                <w:color w:val="auto"/>
              </w:rPr>
              <w:t>CỘNG HOÀ XÃ HỘI CHỦ NGHĨA VIỆT NAM</w:t>
            </w:r>
          </w:p>
          <w:p w:rsidR="00225822" w:rsidRPr="001F4CB8" w:rsidRDefault="00225822" w:rsidP="0031330A">
            <w:pPr>
              <w:jc w:val="center"/>
              <w:rPr>
                <w:b/>
                <w:color w:val="auto"/>
                <w:sz w:val="28"/>
                <w:szCs w:val="28"/>
              </w:rPr>
            </w:pPr>
            <w:r w:rsidRPr="001F4CB8">
              <w:rPr>
                <w:b/>
                <w:color w:val="auto"/>
                <w:sz w:val="28"/>
                <w:szCs w:val="28"/>
              </w:rPr>
              <w:t>Độc lập – Tự do – Hạnh phúc</w:t>
            </w:r>
          </w:p>
          <w:p w:rsidR="00225822" w:rsidRPr="001F4CB8" w:rsidRDefault="006475F1" w:rsidP="008C3976">
            <w:pPr>
              <w:rPr>
                <w:color w:val="auto"/>
                <w:sz w:val="28"/>
                <w:szCs w:val="28"/>
              </w:rPr>
            </w:pPr>
            <w:r>
              <w:rPr>
                <w:color w:val="auto"/>
                <w:sz w:val="28"/>
                <w:szCs w:val="28"/>
              </w:rPr>
              <w:pict>
                <v:shape id="_x0000_s1041" type="#_x0000_t32" style="position:absolute;left:0;text-align:left;margin-left:53.35pt;margin-top:5.8pt;width:176.35pt;height:0;z-index:251657216" o:connectortype="straight"/>
              </w:pict>
            </w:r>
          </w:p>
          <w:p w:rsidR="006B6F74" w:rsidRPr="001F4CB8" w:rsidRDefault="00724AB5" w:rsidP="008B6653">
            <w:pPr>
              <w:jc w:val="center"/>
              <w:rPr>
                <w:i/>
                <w:color w:val="auto"/>
                <w:sz w:val="28"/>
                <w:szCs w:val="28"/>
              </w:rPr>
            </w:pPr>
            <w:r w:rsidRPr="001F4CB8">
              <w:rPr>
                <w:i/>
                <w:color w:val="auto"/>
                <w:sz w:val="28"/>
                <w:szCs w:val="28"/>
              </w:rPr>
              <w:t>Hà Nội, ngày      tháng     năm 20</w:t>
            </w:r>
            <w:r w:rsidR="008B6653" w:rsidRPr="001F4CB8">
              <w:rPr>
                <w:i/>
                <w:color w:val="auto"/>
                <w:sz w:val="28"/>
                <w:szCs w:val="28"/>
              </w:rPr>
              <w:t>1</w:t>
            </w:r>
            <w:r w:rsidR="00E1721E">
              <w:rPr>
                <w:i/>
                <w:color w:val="auto"/>
                <w:sz w:val="28"/>
                <w:szCs w:val="28"/>
              </w:rPr>
              <w:t>6</w:t>
            </w:r>
          </w:p>
          <w:p w:rsidR="00225822" w:rsidRDefault="00724AB5" w:rsidP="006B6F74">
            <w:pPr>
              <w:rPr>
                <w:i/>
                <w:color w:val="auto"/>
                <w:sz w:val="28"/>
                <w:szCs w:val="28"/>
              </w:rPr>
            </w:pPr>
            <w:r w:rsidRPr="001F4CB8">
              <w:rPr>
                <w:i/>
                <w:color w:val="auto"/>
                <w:sz w:val="28"/>
                <w:szCs w:val="28"/>
              </w:rPr>
              <w:t xml:space="preserve">  </w:t>
            </w:r>
          </w:p>
          <w:p w:rsidR="00077456" w:rsidRPr="00077456" w:rsidRDefault="00077456" w:rsidP="006B6F74">
            <w:pPr>
              <w:rPr>
                <w:i/>
                <w:color w:val="auto"/>
                <w:sz w:val="18"/>
                <w:szCs w:val="28"/>
              </w:rPr>
            </w:pPr>
          </w:p>
        </w:tc>
      </w:tr>
    </w:tbl>
    <w:p w:rsidR="0096115C" w:rsidRPr="001F4CB8" w:rsidRDefault="0096115C" w:rsidP="006B6F74">
      <w:pPr>
        <w:ind w:firstLine="720"/>
        <w:rPr>
          <w:b/>
          <w:color w:val="auto"/>
          <w:sz w:val="8"/>
          <w:szCs w:val="28"/>
        </w:rPr>
      </w:pPr>
    </w:p>
    <w:p w:rsidR="006B6F74" w:rsidRPr="001F4CB8" w:rsidRDefault="006B6F74" w:rsidP="006B6F74">
      <w:pPr>
        <w:ind w:firstLine="720"/>
        <w:rPr>
          <w:b/>
          <w:color w:val="auto"/>
          <w:sz w:val="28"/>
          <w:szCs w:val="28"/>
        </w:rPr>
      </w:pPr>
      <w:r w:rsidRPr="001F4CB8">
        <w:rPr>
          <w:b/>
          <w:color w:val="auto"/>
          <w:sz w:val="28"/>
          <w:szCs w:val="28"/>
        </w:rPr>
        <w:t xml:space="preserve">              </w:t>
      </w:r>
      <w:r w:rsidR="005E675B" w:rsidRPr="001F4CB8">
        <w:rPr>
          <w:b/>
          <w:color w:val="auto"/>
          <w:sz w:val="28"/>
          <w:szCs w:val="28"/>
        </w:rPr>
        <w:t xml:space="preserve">                             </w:t>
      </w:r>
      <w:r w:rsidRPr="001F4CB8">
        <w:rPr>
          <w:b/>
          <w:color w:val="auto"/>
          <w:sz w:val="28"/>
          <w:szCs w:val="28"/>
        </w:rPr>
        <w:t>BÁO CÁO</w:t>
      </w:r>
    </w:p>
    <w:p w:rsidR="008E207D" w:rsidRDefault="007A6D4C" w:rsidP="006B6F74">
      <w:pPr>
        <w:jc w:val="center"/>
        <w:rPr>
          <w:b/>
          <w:color w:val="auto"/>
          <w:sz w:val="28"/>
          <w:szCs w:val="28"/>
        </w:rPr>
      </w:pPr>
      <w:r>
        <w:rPr>
          <w:b/>
          <w:color w:val="auto"/>
          <w:sz w:val="28"/>
          <w:szCs w:val="28"/>
        </w:rPr>
        <w:t>Đ</w:t>
      </w:r>
      <w:r w:rsidR="005306D8">
        <w:rPr>
          <w:b/>
          <w:color w:val="auto"/>
          <w:sz w:val="28"/>
          <w:szCs w:val="28"/>
        </w:rPr>
        <w:t xml:space="preserve">ánh giá tác động của Nghị định </w:t>
      </w:r>
    </w:p>
    <w:p w:rsidR="006B6F74" w:rsidRPr="00723418" w:rsidRDefault="005306D8" w:rsidP="006B6F74">
      <w:pPr>
        <w:jc w:val="center"/>
        <w:rPr>
          <w:b/>
          <w:color w:val="auto"/>
          <w:sz w:val="28"/>
          <w:szCs w:val="28"/>
        </w:rPr>
      </w:pPr>
      <w:r>
        <w:rPr>
          <w:b/>
          <w:color w:val="auto"/>
          <w:sz w:val="28"/>
          <w:szCs w:val="28"/>
        </w:rPr>
        <w:t>sửa đổi, bổ sung một số điều của Nghị định số 108/2013/NĐ-CP</w:t>
      </w:r>
    </w:p>
    <w:p w:rsidR="00C97447" w:rsidRPr="001F4CB8" w:rsidRDefault="006475F1" w:rsidP="0096115C">
      <w:pPr>
        <w:spacing w:before="120" w:after="120"/>
        <w:ind w:firstLine="720"/>
        <w:jc w:val="center"/>
        <w:rPr>
          <w:b/>
          <w:color w:val="auto"/>
          <w:sz w:val="28"/>
          <w:szCs w:val="28"/>
        </w:rPr>
      </w:pPr>
      <w:r>
        <w:rPr>
          <w:b/>
          <w:color w:val="auto"/>
          <w:sz w:val="28"/>
          <w:szCs w:val="28"/>
        </w:rPr>
        <w:pict>
          <v:shape id="_x0000_s1045" type="#_x0000_t32" style="position:absolute;left:0;text-align:left;margin-left:154.8pt;margin-top:8.75pt;width:145.8pt;height:0;z-index:251659264" o:connectortype="straight"/>
        </w:pict>
      </w:r>
    </w:p>
    <w:p w:rsidR="00077456" w:rsidRPr="00077456" w:rsidRDefault="008E207D" w:rsidP="00E67C8A">
      <w:pPr>
        <w:spacing w:before="120" w:after="120"/>
        <w:ind w:firstLine="567"/>
        <w:rPr>
          <w:color w:val="auto"/>
          <w:sz w:val="18"/>
          <w:szCs w:val="28"/>
          <w:lang w:val="nl-NL"/>
        </w:rPr>
      </w:pPr>
      <w:r>
        <w:rPr>
          <w:color w:val="auto"/>
          <w:sz w:val="28"/>
          <w:szCs w:val="28"/>
          <w:lang w:val="nl-NL"/>
        </w:rPr>
        <w:tab/>
      </w:r>
    </w:p>
    <w:p w:rsidR="005306D8" w:rsidRPr="004D3A80" w:rsidRDefault="00077456" w:rsidP="00E67C8A">
      <w:pPr>
        <w:spacing w:before="120" w:after="120"/>
        <w:ind w:firstLine="567"/>
        <w:rPr>
          <w:color w:val="auto"/>
          <w:sz w:val="28"/>
          <w:szCs w:val="28"/>
          <w:lang w:val="nl-NL"/>
        </w:rPr>
      </w:pPr>
      <w:r>
        <w:rPr>
          <w:color w:val="auto"/>
          <w:sz w:val="28"/>
          <w:szCs w:val="28"/>
          <w:lang w:val="nl-NL"/>
        </w:rPr>
        <w:tab/>
      </w:r>
      <w:r w:rsidR="005306D8" w:rsidRPr="004D3A80">
        <w:rPr>
          <w:color w:val="auto"/>
          <w:sz w:val="28"/>
          <w:szCs w:val="28"/>
          <w:lang w:val="nl-NL"/>
        </w:rPr>
        <w:t xml:space="preserve">Bộ Tài chính tiến hành đánh giá tác động của </w:t>
      </w:r>
      <w:r w:rsidR="008E207D">
        <w:rPr>
          <w:color w:val="auto"/>
          <w:sz w:val="28"/>
          <w:szCs w:val="28"/>
          <w:lang w:val="nl-NL"/>
        </w:rPr>
        <w:t xml:space="preserve">Nghị định </w:t>
      </w:r>
      <w:r w:rsidR="008E207D" w:rsidRPr="008E207D">
        <w:rPr>
          <w:color w:val="auto"/>
          <w:sz w:val="28"/>
          <w:szCs w:val="28"/>
          <w:lang w:val="nl-NL"/>
        </w:rPr>
        <w:t>sửa đổi, bổ sung một số điều của Nghị định số 108/2013/NĐ-CP</w:t>
      </w:r>
      <w:r w:rsidR="008E207D">
        <w:rPr>
          <w:color w:val="auto"/>
          <w:sz w:val="28"/>
          <w:szCs w:val="28"/>
          <w:lang w:val="nl-NL"/>
        </w:rPr>
        <w:t xml:space="preserve"> </w:t>
      </w:r>
      <w:r w:rsidR="005306D8" w:rsidRPr="004D3A80">
        <w:rPr>
          <w:color w:val="auto"/>
          <w:sz w:val="28"/>
          <w:szCs w:val="28"/>
          <w:lang w:val="nl-NL"/>
        </w:rPr>
        <w:t>theo các nội dung sau đây:</w:t>
      </w:r>
    </w:p>
    <w:p w:rsidR="005306D8" w:rsidRPr="002B44D4" w:rsidRDefault="002B44D4" w:rsidP="002B44D4">
      <w:pPr>
        <w:spacing w:before="120" w:after="120"/>
        <w:rPr>
          <w:b/>
          <w:color w:val="auto"/>
          <w:sz w:val="28"/>
          <w:szCs w:val="28"/>
          <w:lang w:val="nl-NL"/>
        </w:rPr>
      </w:pPr>
      <w:r w:rsidRPr="002B44D4">
        <w:rPr>
          <w:b/>
          <w:color w:val="auto"/>
          <w:sz w:val="28"/>
          <w:szCs w:val="28"/>
          <w:lang w:val="nl-NL"/>
        </w:rPr>
        <w:t xml:space="preserve">1. </w:t>
      </w:r>
      <w:r w:rsidR="005306D8" w:rsidRPr="002B44D4">
        <w:rPr>
          <w:b/>
          <w:color w:val="auto"/>
          <w:sz w:val="28"/>
          <w:szCs w:val="28"/>
          <w:lang w:val="nl-NL"/>
        </w:rPr>
        <w:t>Cơ sở</w:t>
      </w:r>
      <w:r>
        <w:rPr>
          <w:b/>
          <w:color w:val="auto"/>
          <w:sz w:val="28"/>
          <w:szCs w:val="28"/>
          <w:lang w:val="nl-NL"/>
        </w:rPr>
        <w:t xml:space="preserve"> pháp lý</w:t>
      </w:r>
    </w:p>
    <w:p w:rsidR="00FA5E44" w:rsidRDefault="008E207D" w:rsidP="00E67C8A">
      <w:pPr>
        <w:spacing w:before="120" w:after="120"/>
        <w:ind w:firstLine="720"/>
        <w:rPr>
          <w:color w:val="auto"/>
          <w:sz w:val="28"/>
          <w:szCs w:val="28"/>
          <w:lang w:val="nl-NL"/>
        </w:rPr>
      </w:pPr>
      <w:r>
        <w:rPr>
          <w:color w:val="auto"/>
          <w:sz w:val="28"/>
          <w:szCs w:val="28"/>
          <w:lang w:val="nl-NL"/>
        </w:rPr>
        <w:t xml:space="preserve">Việc ban hành </w:t>
      </w:r>
      <w:r w:rsidR="004210B1">
        <w:rPr>
          <w:color w:val="auto"/>
          <w:sz w:val="28"/>
          <w:szCs w:val="28"/>
          <w:lang w:val="nl-NL"/>
        </w:rPr>
        <w:t>Nghị định sửa đổi, bổ sung</w:t>
      </w:r>
      <w:r>
        <w:rPr>
          <w:color w:val="auto"/>
          <w:sz w:val="28"/>
          <w:szCs w:val="28"/>
          <w:lang w:val="nl-NL"/>
        </w:rPr>
        <w:t xml:space="preserve"> một số điều của</w:t>
      </w:r>
      <w:r w:rsidR="00FA5E44" w:rsidRPr="00E84978">
        <w:rPr>
          <w:color w:val="auto"/>
          <w:sz w:val="28"/>
          <w:szCs w:val="28"/>
          <w:lang w:val="nl-NL"/>
        </w:rPr>
        <w:t xml:space="preserve"> </w:t>
      </w:r>
      <w:r w:rsidR="00FA5E44" w:rsidRPr="00E84978">
        <w:rPr>
          <w:color w:val="auto"/>
          <w:sz w:val="28"/>
          <w:szCs w:val="28"/>
          <w:lang w:val="pt-BR"/>
        </w:rPr>
        <w:t>Nghị định số 108/2013/NĐ-CP</w:t>
      </w:r>
      <w:r w:rsidR="007C365B">
        <w:rPr>
          <w:color w:val="auto"/>
          <w:sz w:val="28"/>
          <w:szCs w:val="28"/>
          <w:lang w:val="pt-BR"/>
        </w:rPr>
        <w:t xml:space="preserve"> ngày 23/9/2013 của Chính phủ Quy định xử phạt vi phạm hành chính trong lĩnh vực chứng khoán và thị trường chứng khoán</w:t>
      </w:r>
      <w:r w:rsidR="00AE4094">
        <w:rPr>
          <w:color w:val="auto"/>
          <w:sz w:val="28"/>
          <w:szCs w:val="28"/>
          <w:lang w:val="pt-BR"/>
        </w:rPr>
        <w:t xml:space="preserve"> (Nghị đị</w:t>
      </w:r>
      <w:r>
        <w:rPr>
          <w:color w:val="auto"/>
          <w:sz w:val="28"/>
          <w:szCs w:val="28"/>
          <w:lang w:val="pt-BR"/>
        </w:rPr>
        <w:t>nh 108</w:t>
      </w:r>
      <w:r w:rsidR="00AE4094">
        <w:rPr>
          <w:color w:val="auto"/>
          <w:sz w:val="28"/>
          <w:szCs w:val="28"/>
          <w:lang w:val="pt-BR"/>
        </w:rPr>
        <w:t>)</w:t>
      </w:r>
      <w:r w:rsidR="00FA5E44" w:rsidRPr="00E84978">
        <w:rPr>
          <w:color w:val="auto"/>
          <w:sz w:val="28"/>
          <w:szCs w:val="28"/>
          <w:lang w:val="nl-NL"/>
        </w:rPr>
        <w:t xml:space="preserve"> nhằm đảm bảo tính đồng bộ</w:t>
      </w:r>
      <w:r w:rsidR="00FA5E44">
        <w:rPr>
          <w:color w:val="auto"/>
          <w:sz w:val="28"/>
          <w:szCs w:val="28"/>
          <w:lang w:val="nl-NL"/>
        </w:rPr>
        <w:t>, bao quát</w:t>
      </w:r>
      <w:r w:rsidR="00FA5E44" w:rsidRPr="00E84978">
        <w:rPr>
          <w:color w:val="auto"/>
          <w:sz w:val="28"/>
          <w:szCs w:val="28"/>
          <w:lang w:val="nl-NL"/>
        </w:rPr>
        <w:t xml:space="preserve"> trong hệ thống pháp luật về chứng khoán và </w:t>
      </w:r>
      <w:r w:rsidR="007C365B">
        <w:rPr>
          <w:color w:val="auto"/>
          <w:sz w:val="28"/>
          <w:szCs w:val="28"/>
          <w:lang w:val="nl-NL"/>
        </w:rPr>
        <w:t xml:space="preserve">thị trường chứng khoán (CK và </w:t>
      </w:r>
      <w:r w:rsidR="00FA5E44" w:rsidRPr="00E84978">
        <w:rPr>
          <w:color w:val="auto"/>
          <w:sz w:val="28"/>
          <w:szCs w:val="28"/>
          <w:lang w:val="nl-NL"/>
        </w:rPr>
        <w:t>TTCK</w:t>
      </w:r>
      <w:r w:rsidR="007C365B">
        <w:rPr>
          <w:color w:val="auto"/>
          <w:sz w:val="28"/>
          <w:szCs w:val="28"/>
          <w:lang w:val="nl-NL"/>
        </w:rPr>
        <w:t>)</w:t>
      </w:r>
      <w:r w:rsidR="00FA5E44" w:rsidRPr="00E84978">
        <w:rPr>
          <w:color w:val="auto"/>
          <w:sz w:val="28"/>
          <w:szCs w:val="28"/>
          <w:lang w:val="nl-NL"/>
        </w:rPr>
        <w:t xml:space="preserve">, </w:t>
      </w:r>
      <w:r w:rsidR="00FA5E44">
        <w:rPr>
          <w:color w:val="auto"/>
          <w:sz w:val="28"/>
          <w:szCs w:val="28"/>
          <w:lang w:val="nl-NL"/>
        </w:rPr>
        <w:t>đảm bảo tính thực thi của các quy định pháp luật</w:t>
      </w:r>
      <w:r w:rsidR="004210B1">
        <w:rPr>
          <w:color w:val="auto"/>
          <w:sz w:val="28"/>
          <w:szCs w:val="28"/>
          <w:lang w:val="nl-NL"/>
        </w:rPr>
        <w:t xml:space="preserve"> mới ban hành</w:t>
      </w:r>
      <w:r w:rsidR="000E7E5D">
        <w:rPr>
          <w:color w:val="auto"/>
          <w:sz w:val="28"/>
          <w:szCs w:val="28"/>
          <w:lang w:val="nl-NL"/>
        </w:rPr>
        <w:t xml:space="preserve"> (</w:t>
      </w:r>
      <w:r w:rsidR="000E7E5D" w:rsidRPr="001D0840">
        <w:rPr>
          <w:color w:val="auto"/>
          <w:sz w:val="28"/>
          <w:szCs w:val="28"/>
          <w:lang w:val="nl-NL"/>
        </w:rPr>
        <w:t>Nghị định số 42/2015/NĐ-CP</w:t>
      </w:r>
      <w:r w:rsidR="00AE4094">
        <w:rPr>
          <w:color w:val="auto"/>
          <w:sz w:val="28"/>
          <w:szCs w:val="28"/>
          <w:lang w:val="nl-NL"/>
        </w:rPr>
        <w:t xml:space="preserve"> </w:t>
      </w:r>
      <w:r w:rsidR="00AE4094" w:rsidRPr="00AE4094">
        <w:rPr>
          <w:color w:val="auto"/>
          <w:sz w:val="28"/>
          <w:szCs w:val="28"/>
          <w:lang w:val="nl-NL"/>
        </w:rPr>
        <w:t>về CK phái sinh và TTCK phái sinh</w:t>
      </w:r>
      <w:r w:rsidR="00AE4094">
        <w:rPr>
          <w:color w:val="auto"/>
          <w:sz w:val="28"/>
          <w:szCs w:val="28"/>
          <w:lang w:val="nl-NL"/>
        </w:rPr>
        <w:t>;</w:t>
      </w:r>
      <w:r w:rsidR="000E7E5D">
        <w:rPr>
          <w:color w:val="auto"/>
          <w:sz w:val="28"/>
          <w:szCs w:val="28"/>
          <w:lang w:val="nl-NL"/>
        </w:rPr>
        <w:t xml:space="preserve"> </w:t>
      </w:r>
      <w:r w:rsidR="00AE4094" w:rsidRPr="00AE4094">
        <w:rPr>
          <w:color w:val="auto"/>
          <w:sz w:val="28"/>
          <w:szCs w:val="28"/>
          <w:lang w:val="nl-NL"/>
        </w:rPr>
        <w:t>Nghị định số 60/2015/NĐ-CP ngày 26/6/2015 sửa đổi, bổ sung một số điều của Nghị định 58/2012/NĐ-CP ngày 20/7/2012 của Chính phủ quy định chi tiết và hướng dẫn thi hành một số điều của Luật Chứng khoán và Luật sửa đổi, bổ sung một số điều của Luật Chứng khoán</w:t>
      </w:r>
      <w:r w:rsidR="00AE4094">
        <w:rPr>
          <w:color w:val="auto"/>
          <w:sz w:val="28"/>
          <w:szCs w:val="28"/>
          <w:lang w:val="nl-NL"/>
        </w:rPr>
        <w:t>;</w:t>
      </w:r>
      <w:r w:rsidR="000E7E5D">
        <w:rPr>
          <w:color w:val="auto"/>
          <w:sz w:val="28"/>
          <w:szCs w:val="28"/>
          <w:lang w:val="nl-NL"/>
        </w:rPr>
        <w:t xml:space="preserve"> </w:t>
      </w:r>
      <w:r w:rsidR="006801B2">
        <w:rPr>
          <w:color w:val="auto"/>
          <w:sz w:val="28"/>
          <w:szCs w:val="28"/>
          <w:lang w:val="nl-NL"/>
        </w:rPr>
        <w:t>Bộ luật Hình sự số 100/2015QH13</w:t>
      </w:r>
      <w:r w:rsidR="00AE4094">
        <w:rPr>
          <w:color w:val="auto"/>
          <w:sz w:val="28"/>
          <w:szCs w:val="28"/>
          <w:lang w:val="nl-NL"/>
        </w:rPr>
        <w:t xml:space="preserve"> ngày 27/11/2015;</w:t>
      </w:r>
      <w:r w:rsidR="006801B2">
        <w:rPr>
          <w:color w:val="auto"/>
          <w:sz w:val="28"/>
          <w:szCs w:val="28"/>
          <w:lang w:val="nl-NL"/>
        </w:rPr>
        <w:t xml:space="preserve"> </w:t>
      </w:r>
      <w:r w:rsidR="000E7E5D" w:rsidRPr="00EC120B">
        <w:rPr>
          <w:color w:val="auto"/>
          <w:sz w:val="28"/>
          <w:szCs w:val="28"/>
          <w:lang w:val="nl-NL"/>
        </w:rPr>
        <w:t>Quyết định số 2112/QĐ-TTg ngày 25/11/2014 của Thủ tướng Chính phủ</w:t>
      </w:r>
      <w:r w:rsidR="002941EB">
        <w:rPr>
          <w:color w:val="auto"/>
          <w:sz w:val="28"/>
          <w:szCs w:val="28"/>
          <w:lang w:val="nl-NL"/>
        </w:rPr>
        <w:t xml:space="preserve"> ban hành </w:t>
      </w:r>
      <w:r w:rsidR="002941EB" w:rsidRPr="002941EB">
        <w:rPr>
          <w:color w:val="auto"/>
          <w:sz w:val="28"/>
          <w:szCs w:val="28"/>
          <w:lang w:val="nl-NL"/>
        </w:rPr>
        <w:t>Kế hoạch hành động quốc gia về phòng, chống rửa tiền và tài trợ khủng bố giai đoạn 2015-2020</w:t>
      </w:r>
      <w:r w:rsidR="000E7E5D">
        <w:rPr>
          <w:color w:val="auto"/>
          <w:sz w:val="28"/>
          <w:szCs w:val="28"/>
          <w:lang w:val="nl-NL"/>
        </w:rPr>
        <w:t>)</w:t>
      </w:r>
      <w:r w:rsidR="004210B1">
        <w:rPr>
          <w:color w:val="auto"/>
          <w:sz w:val="28"/>
          <w:szCs w:val="28"/>
          <w:lang w:val="nl-NL"/>
        </w:rPr>
        <w:t>, khắc phục các tồn tại, vướng mắc trong quá trình thực thi Nghị định 108/2013/NĐ-CP</w:t>
      </w:r>
      <w:r w:rsidR="00FA5E44" w:rsidRPr="00E84978">
        <w:rPr>
          <w:color w:val="auto"/>
          <w:sz w:val="28"/>
          <w:szCs w:val="28"/>
          <w:lang w:val="nl-NL"/>
        </w:rPr>
        <w:t xml:space="preserve">. </w:t>
      </w:r>
    </w:p>
    <w:p w:rsidR="005306D8" w:rsidRPr="008E207D" w:rsidRDefault="005306D8" w:rsidP="002D5C06">
      <w:pPr>
        <w:spacing w:before="120" w:after="120"/>
        <w:rPr>
          <w:b/>
          <w:color w:val="auto"/>
          <w:sz w:val="28"/>
          <w:szCs w:val="28"/>
          <w:lang w:val="nl-NL"/>
        </w:rPr>
      </w:pPr>
      <w:r w:rsidRPr="002D5C06">
        <w:rPr>
          <w:b/>
          <w:color w:val="auto"/>
          <w:sz w:val="28"/>
          <w:szCs w:val="28"/>
          <w:lang w:val="nl-NL"/>
        </w:rPr>
        <w:t xml:space="preserve">2. Một số nội dung chính của </w:t>
      </w:r>
      <w:r w:rsidR="008E207D">
        <w:rPr>
          <w:b/>
          <w:color w:val="auto"/>
          <w:sz w:val="28"/>
          <w:szCs w:val="28"/>
          <w:lang w:val="nl-NL"/>
        </w:rPr>
        <w:t>d</w:t>
      </w:r>
      <w:r w:rsidRPr="002D5C06">
        <w:rPr>
          <w:b/>
          <w:color w:val="auto"/>
          <w:sz w:val="28"/>
          <w:szCs w:val="28"/>
          <w:lang w:val="nl-NL"/>
        </w:rPr>
        <w:t xml:space="preserve">ự thảo Nghị </w:t>
      </w:r>
      <w:r w:rsidRPr="008E207D">
        <w:rPr>
          <w:b/>
          <w:color w:val="auto"/>
          <w:sz w:val="28"/>
          <w:szCs w:val="28"/>
          <w:lang w:val="nl-NL"/>
        </w:rPr>
        <w:t>định</w:t>
      </w:r>
      <w:r w:rsidR="008E207D" w:rsidRPr="008E207D">
        <w:rPr>
          <w:b/>
          <w:color w:val="auto"/>
          <w:sz w:val="28"/>
          <w:szCs w:val="28"/>
          <w:lang w:val="nl-NL"/>
        </w:rPr>
        <w:t xml:space="preserve"> sửa đổi, bổ sung một số điều của Nghị định 108</w:t>
      </w:r>
    </w:p>
    <w:p w:rsidR="000E7E5D" w:rsidRPr="008E207D" w:rsidRDefault="008E207D" w:rsidP="008E207D">
      <w:pPr>
        <w:spacing w:before="120" w:after="120"/>
        <w:rPr>
          <w:b/>
          <w:color w:val="auto"/>
          <w:sz w:val="28"/>
          <w:szCs w:val="28"/>
          <w:lang w:val="nl-NL"/>
        </w:rPr>
      </w:pPr>
      <w:r>
        <w:rPr>
          <w:color w:val="auto"/>
          <w:sz w:val="28"/>
          <w:szCs w:val="28"/>
          <w:lang w:val="nl-NL"/>
        </w:rPr>
        <w:tab/>
      </w:r>
      <w:r w:rsidR="000E7E5D" w:rsidRPr="008E207D">
        <w:rPr>
          <w:color w:val="auto"/>
          <w:sz w:val="28"/>
          <w:szCs w:val="28"/>
          <w:lang w:val="nl-NL"/>
        </w:rPr>
        <w:t xml:space="preserve">Dự thảo Nghị định </w:t>
      </w:r>
      <w:r w:rsidRPr="008E207D">
        <w:rPr>
          <w:color w:val="auto"/>
          <w:sz w:val="28"/>
          <w:szCs w:val="28"/>
          <w:lang w:val="nl-NL"/>
        </w:rPr>
        <w:t xml:space="preserve">sửa đổi, bổ sung một số điều của Nghị định 108 (dự thảo Nghị định) </w:t>
      </w:r>
      <w:r w:rsidR="000E7E5D" w:rsidRPr="008E207D">
        <w:rPr>
          <w:color w:val="auto"/>
          <w:sz w:val="28"/>
          <w:szCs w:val="28"/>
          <w:lang w:val="nl-NL"/>
        </w:rPr>
        <w:t>bổ sung các hành vi và chế tài xử phạt tương ứng nhằm đảm bảo thực thi Nghị định số 42/2015/NĐ-CP về CKPS và TTCK phái sinh như: hành vi vi phạm quy định về điều kiện kinh doanh CKPS, dịch vụ bù trừ, thanh toán CKPS; hành vi vi phạm quy</w:t>
      </w:r>
      <w:r w:rsidR="000E7E5D">
        <w:rPr>
          <w:color w:val="auto"/>
          <w:sz w:val="28"/>
          <w:szCs w:val="28"/>
          <w:lang w:val="nl-NL"/>
        </w:rPr>
        <w:t xml:space="preserve"> định về điều kiện đầu tư CKPS của công ty chứng khoán, công ty quản lý qu</w:t>
      </w:r>
      <w:r w:rsidR="008D20B6">
        <w:rPr>
          <w:color w:val="auto"/>
          <w:sz w:val="28"/>
          <w:szCs w:val="28"/>
          <w:lang w:val="nl-NL"/>
        </w:rPr>
        <w:t>ỹ</w:t>
      </w:r>
      <w:r w:rsidR="000E7E5D" w:rsidRPr="008E207D">
        <w:rPr>
          <w:color w:val="auto"/>
          <w:sz w:val="28"/>
          <w:szCs w:val="28"/>
          <w:lang w:val="nl-NL"/>
        </w:rPr>
        <w:t>... Bên cạnh đó, dự thảo Nghị định sửa đổi, bổ sung các hành vi và chế tài xử phạt để phù hợp với các quy định mới tại Nghị định số 60/2015/NĐ-CP</w:t>
      </w:r>
      <w:r w:rsidRPr="008E207D">
        <w:rPr>
          <w:color w:val="auto"/>
          <w:sz w:val="28"/>
          <w:szCs w:val="28"/>
          <w:lang w:val="nl-NL"/>
        </w:rPr>
        <w:t xml:space="preserve"> như: </w:t>
      </w:r>
      <w:r w:rsidR="000E7E5D" w:rsidRPr="008E207D">
        <w:rPr>
          <w:color w:val="auto"/>
          <w:sz w:val="28"/>
          <w:szCs w:val="28"/>
          <w:lang w:val="nl-NL"/>
        </w:rPr>
        <w:t>bổ</w:t>
      </w:r>
      <w:r w:rsidRPr="008E207D">
        <w:rPr>
          <w:color w:val="auto"/>
          <w:sz w:val="28"/>
          <w:szCs w:val="28"/>
          <w:lang w:val="nl-NL"/>
        </w:rPr>
        <w:t xml:space="preserve"> sung hành vi vi phạm về nghĩa vụ của tổ chức phát hành riêng lẻ, về công bố báo cáo sử dụng vốn được kiểm toán xác nhận; về mở tài khoản phong tỏa và sử dụng vốn huy động từ đợt chào bán</w:t>
      </w:r>
      <w:r w:rsidR="002137FB">
        <w:rPr>
          <w:color w:val="auto"/>
          <w:sz w:val="28"/>
          <w:szCs w:val="28"/>
          <w:lang w:val="nl-NL"/>
        </w:rPr>
        <w:t xml:space="preserve">. Dự thảo Nghị định bổ sung </w:t>
      </w:r>
      <w:r w:rsidRPr="008E207D">
        <w:rPr>
          <w:color w:val="auto"/>
          <w:sz w:val="28"/>
          <w:szCs w:val="28"/>
          <w:lang w:val="nl-NL"/>
        </w:rPr>
        <w:t xml:space="preserve">chế tài xử phạt đối với hành vi không niêm yết, </w:t>
      </w:r>
      <w:r w:rsidR="000E7E5D" w:rsidRPr="008E207D">
        <w:rPr>
          <w:color w:val="auto"/>
          <w:sz w:val="28"/>
          <w:szCs w:val="28"/>
          <w:lang w:val="nl-NL"/>
        </w:rPr>
        <w:t xml:space="preserve">đăng ký giao dịch </w:t>
      </w:r>
      <w:r w:rsidR="000E7E5D" w:rsidRPr="008E207D">
        <w:rPr>
          <w:color w:val="auto"/>
          <w:sz w:val="28"/>
          <w:szCs w:val="28"/>
          <w:lang w:val="nl-NL"/>
        </w:rPr>
        <w:lastRenderedPageBreak/>
        <w:t>chứng khoán</w:t>
      </w:r>
      <w:r w:rsidR="002137FB">
        <w:rPr>
          <w:color w:val="auto"/>
          <w:sz w:val="28"/>
          <w:szCs w:val="28"/>
          <w:lang w:val="nl-NL"/>
        </w:rPr>
        <w:t xml:space="preserve"> đúng thời hạn quy định</w:t>
      </w:r>
      <w:r w:rsidRPr="008E207D">
        <w:rPr>
          <w:color w:val="auto"/>
          <w:sz w:val="28"/>
          <w:szCs w:val="28"/>
          <w:lang w:val="nl-NL"/>
        </w:rPr>
        <w:t xml:space="preserve"> </w:t>
      </w:r>
      <w:r w:rsidR="000E7E5D" w:rsidRPr="008E207D">
        <w:rPr>
          <w:color w:val="auto"/>
          <w:sz w:val="28"/>
          <w:szCs w:val="28"/>
          <w:lang w:val="nl-NL"/>
        </w:rPr>
        <w:t>nhằm thu hẹp thị trường tự do theo hướng mọi cổ phiếu của doanh nghiệp nhà nước cổ phần hóa, doanh nghiệp</w:t>
      </w:r>
      <w:r w:rsidR="000E7E5D" w:rsidRPr="001D0840">
        <w:rPr>
          <w:color w:val="auto"/>
          <w:sz w:val="28"/>
          <w:szCs w:val="28"/>
          <w:lang w:val="nl-NL"/>
        </w:rPr>
        <w:t xml:space="preserve"> khác sau khi đã chào bán chứng khoán ra công chúng thì phải được đăng ký lưu ký tập trung tại Trung tâm Lưu ký Chứng khoán Việt Nam và </w:t>
      </w:r>
      <w:r w:rsidR="002137FB">
        <w:rPr>
          <w:color w:val="auto"/>
          <w:sz w:val="28"/>
          <w:szCs w:val="28"/>
          <w:lang w:val="nl-NL"/>
        </w:rPr>
        <w:t>niêm yết/</w:t>
      </w:r>
      <w:r w:rsidR="000E7E5D" w:rsidRPr="001D0840">
        <w:rPr>
          <w:color w:val="auto"/>
          <w:sz w:val="28"/>
          <w:szCs w:val="28"/>
          <w:lang w:val="nl-NL"/>
        </w:rPr>
        <w:t>đăng ký giao dịch trên TTCK…</w:t>
      </w:r>
    </w:p>
    <w:p w:rsidR="000E7E5D" w:rsidRDefault="000E7E5D" w:rsidP="000E7E5D">
      <w:pPr>
        <w:spacing w:before="120" w:after="120"/>
        <w:ind w:firstLine="720"/>
        <w:rPr>
          <w:color w:val="auto"/>
          <w:sz w:val="28"/>
          <w:szCs w:val="28"/>
          <w:lang w:val="nl-NL"/>
        </w:rPr>
      </w:pPr>
      <w:r>
        <w:rPr>
          <w:color w:val="auto"/>
          <w:sz w:val="28"/>
          <w:szCs w:val="28"/>
          <w:lang w:val="nl-NL"/>
        </w:rPr>
        <w:t xml:space="preserve">Ngoài ra, dự thảo Nghị định </w:t>
      </w:r>
      <w:r w:rsidR="006801B2">
        <w:rPr>
          <w:color w:val="auto"/>
          <w:sz w:val="28"/>
          <w:szCs w:val="28"/>
          <w:lang w:val="nl-NL"/>
        </w:rPr>
        <w:t>sửa đổi, bổ sung hành vi vi phạm để phù hợp với các tội danh</w:t>
      </w:r>
      <w:r w:rsidRPr="00EC120B">
        <w:rPr>
          <w:color w:val="auto"/>
          <w:sz w:val="28"/>
          <w:szCs w:val="28"/>
          <w:lang w:val="nl-NL"/>
        </w:rPr>
        <w:t xml:space="preserve"> </w:t>
      </w:r>
      <w:r w:rsidR="006801B2">
        <w:rPr>
          <w:color w:val="auto"/>
          <w:sz w:val="28"/>
          <w:szCs w:val="28"/>
          <w:lang w:val="nl-NL"/>
        </w:rPr>
        <w:t xml:space="preserve">về chứng khoán tại Bộ luật Hình sự mới 2015 nhằm thực thi </w:t>
      </w:r>
      <w:r w:rsidR="007C365B" w:rsidRPr="007C365B">
        <w:rPr>
          <w:color w:val="auto"/>
          <w:sz w:val="28"/>
          <w:szCs w:val="28"/>
          <w:lang w:val="nl-NL"/>
        </w:rPr>
        <w:t>Nghị quyết số 109/2015/QH13 ngày 27/11/2015 của Quốc hội, Quyết định số 272/QĐ-TTg ngày 19/02/2016 của Thủ tướng Chính phủ về triển khai thi hành Bộ luật Hình sự 2015</w:t>
      </w:r>
      <w:r w:rsidR="007C365B">
        <w:rPr>
          <w:color w:val="auto"/>
          <w:sz w:val="28"/>
          <w:szCs w:val="28"/>
          <w:lang w:val="nl-NL"/>
        </w:rPr>
        <w:t>;</w:t>
      </w:r>
      <w:r w:rsidR="006801B2">
        <w:rPr>
          <w:color w:val="auto"/>
          <w:sz w:val="28"/>
          <w:szCs w:val="28"/>
          <w:lang w:val="nl-NL"/>
        </w:rPr>
        <w:t xml:space="preserve"> bổ sung </w:t>
      </w:r>
      <w:r w:rsidRPr="00EC120B">
        <w:rPr>
          <w:color w:val="auto"/>
          <w:sz w:val="28"/>
          <w:szCs w:val="28"/>
          <w:lang w:val="nl-NL"/>
        </w:rPr>
        <w:t>hành vi vi phạm quy định về phòng, chống rửa tiền trong lĩnh vực chứng khoán và TTCK để thực hiện Kế hoạch hành động quốc gia về Phòng, chống rửa tiền và tài trợ khủng bộ giai đoạn 2015-2020 (ban hành theo Quyết định số 2112/QĐ-TTg ngày 25/11/2014 của Thủ tướng Chính phủ)</w:t>
      </w:r>
      <w:r>
        <w:rPr>
          <w:color w:val="auto"/>
          <w:sz w:val="28"/>
          <w:szCs w:val="28"/>
          <w:lang w:val="nl-NL"/>
        </w:rPr>
        <w:t>,</w:t>
      </w:r>
      <w:r w:rsidRPr="00EC120B">
        <w:rPr>
          <w:color w:val="auto"/>
          <w:sz w:val="28"/>
          <w:szCs w:val="28"/>
          <w:lang w:val="nl-NL"/>
        </w:rPr>
        <w:t xml:space="preserve"> </w:t>
      </w:r>
      <w:r>
        <w:rPr>
          <w:color w:val="auto"/>
          <w:sz w:val="28"/>
          <w:szCs w:val="28"/>
          <w:lang w:val="nl-NL"/>
        </w:rPr>
        <w:t>t</w:t>
      </w:r>
      <w:r w:rsidRPr="00EC120B">
        <w:rPr>
          <w:color w:val="auto"/>
          <w:sz w:val="28"/>
          <w:szCs w:val="28"/>
          <w:lang w:val="nl-NL"/>
        </w:rPr>
        <w:t>heo đó, giao Bộ Tài chính đưa nội dung xử phạt vi phạm hành chính trong lĩnh vực phòng, chống rửa tiền, tài trợ cho khủng bố vào Nghị định xử phạt vi phạm hành chính trong từng lĩnh vực.</w:t>
      </w:r>
      <w:r>
        <w:rPr>
          <w:color w:val="auto"/>
          <w:sz w:val="28"/>
          <w:szCs w:val="28"/>
          <w:lang w:val="nl-NL"/>
        </w:rPr>
        <w:t xml:space="preserve"> </w:t>
      </w:r>
    </w:p>
    <w:p w:rsidR="000E7E5D" w:rsidRPr="002D5C06" w:rsidRDefault="000E7E5D" w:rsidP="000E7E5D">
      <w:pPr>
        <w:spacing w:before="120" w:after="120"/>
        <w:ind w:firstLine="720"/>
        <w:rPr>
          <w:color w:val="auto"/>
          <w:sz w:val="28"/>
          <w:szCs w:val="28"/>
          <w:lang w:val="nl-NL"/>
        </w:rPr>
      </w:pPr>
      <w:r>
        <w:rPr>
          <w:color w:val="auto"/>
          <w:sz w:val="28"/>
          <w:szCs w:val="28"/>
          <w:lang w:val="nl-NL"/>
        </w:rPr>
        <w:t xml:space="preserve">Bên cạnh đó, dự thảo Nghị định sửa đổi điều chỉnh một số hành vi, chế tài xử phạt để phù hợp với các quy định đã được sửa đổi, bổ sung, thay thế theo các quy định pháp luật mới về chứng khoán và TTCK cũng như khắc phục các tồn tại, vướng mắc trong quá trình thực thi Nghị định 108/2013/NĐ-CP. </w:t>
      </w:r>
    </w:p>
    <w:p w:rsidR="005306D8" w:rsidRPr="00A61C44" w:rsidRDefault="005306D8" w:rsidP="008B3E63">
      <w:pPr>
        <w:spacing w:before="120" w:after="120"/>
        <w:rPr>
          <w:b/>
          <w:color w:val="auto"/>
          <w:sz w:val="28"/>
          <w:szCs w:val="28"/>
          <w:lang w:val="sv-SE"/>
        </w:rPr>
      </w:pPr>
      <w:r w:rsidRPr="00A61C44">
        <w:rPr>
          <w:b/>
          <w:color w:val="auto"/>
          <w:sz w:val="28"/>
          <w:szCs w:val="28"/>
          <w:lang w:val="sv-SE"/>
        </w:rPr>
        <w:t xml:space="preserve">3. Mục tiêu của việc ban hành Nghị định </w:t>
      </w:r>
      <w:r w:rsidR="00A61C44">
        <w:rPr>
          <w:b/>
          <w:color w:val="auto"/>
          <w:sz w:val="28"/>
          <w:szCs w:val="28"/>
          <w:lang w:val="sv-SE"/>
        </w:rPr>
        <w:t>sửa đổi, bổ sung một số điều của</w:t>
      </w:r>
      <w:r w:rsidRPr="00A61C44">
        <w:rPr>
          <w:b/>
          <w:color w:val="auto"/>
          <w:sz w:val="28"/>
          <w:szCs w:val="28"/>
          <w:lang w:val="sv-SE"/>
        </w:rPr>
        <w:t xml:space="preserve"> Nghị định </w:t>
      </w:r>
      <w:r w:rsidR="00103245">
        <w:rPr>
          <w:b/>
          <w:color w:val="auto"/>
          <w:sz w:val="28"/>
          <w:szCs w:val="28"/>
          <w:lang w:val="sv-SE"/>
        </w:rPr>
        <w:t>108</w:t>
      </w:r>
    </w:p>
    <w:p w:rsidR="00836E20" w:rsidRDefault="00836E20" w:rsidP="00E67C8A">
      <w:pPr>
        <w:spacing w:before="120" w:after="120"/>
        <w:ind w:firstLine="720"/>
        <w:rPr>
          <w:color w:val="auto"/>
          <w:sz w:val="28"/>
          <w:szCs w:val="28"/>
          <w:lang w:val="sv-SE"/>
        </w:rPr>
      </w:pPr>
      <w:r>
        <w:rPr>
          <w:color w:val="auto"/>
          <w:sz w:val="28"/>
          <w:szCs w:val="28"/>
          <w:lang w:val="sv-SE"/>
        </w:rPr>
        <w:t>Mục tiêu của việc ban hành</w:t>
      </w:r>
      <w:r w:rsidRPr="00836E20">
        <w:rPr>
          <w:color w:val="auto"/>
          <w:sz w:val="28"/>
          <w:szCs w:val="28"/>
          <w:lang w:val="sv-SE"/>
        </w:rPr>
        <w:t xml:space="preserve"> Nghị định </w:t>
      </w:r>
      <w:r>
        <w:rPr>
          <w:color w:val="auto"/>
          <w:sz w:val="28"/>
          <w:szCs w:val="28"/>
          <w:lang w:val="sv-SE"/>
        </w:rPr>
        <w:t>đó là</w:t>
      </w:r>
      <w:r w:rsidRPr="00836E20">
        <w:rPr>
          <w:color w:val="auto"/>
          <w:sz w:val="28"/>
          <w:szCs w:val="28"/>
          <w:lang w:val="sv-SE"/>
        </w:rPr>
        <w:t>:</w:t>
      </w:r>
    </w:p>
    <w:p w:rsidR="005306D8" w:rsidRPr="00836E20" w:rsidRDefault="005306D8" w:rsidP="00E67C8A">
      <w:pPr>
        <w:spacing w:before="120" w:after="120"/>
        <w:ind w:firstLine="720"/>
        <w:rPr>
          <w:color w:val="auto"/>
          <w:sz w:val="28"/>
          <w:szCs w:val="28"/>
          <w:lang w:val="sv-SE"/>
        </w:rPr>
      </w:pPr>
      <w:r w:rsidRPr="00A61C44">
        <w:rPr>
          <w:color w:val="auto"/>
          <w:sz w:val="28"/>
          <w:szCs w:val="28"/>
          <w:lang w:val="sv-SE"/>
        </w:rPr>
        <w:t xml:space="preserve">- </w:t>
      </w:r>
      <w:r w:rsidR="00836E20">
        <w:rPr>
          <w:color w:val="auto"/>
          <w:sz w:val="28"/>
          <w:szCs w:val="28"/>
          <w:lang w:val="sv-SE"/>
        </w:rPr>
        <w:t>Đ</w:t>
      </w:r>
      <w:r w:rsidRPr="00A61C44">
        <w:rPr>
          <w:color w:val="auto"/>
          <w:sz w:val="28"/>
          <w:szCs w:val="28"/>
          <w:lang w:val="sv-SE"/>
        </w:rPr>
        <w:t xml:space="preserve">ảm bảo khả năng bao quát, xử lý nghiêm minh, công bằng và minh bạch các hành vi vi phạm trên thị trường; </w:t>
      </w:r>
      <w:r w:rsidR="007B54CA">
        <w:rPr>
          <w:color w:val="auto"/>
          <w:sz w:val="28"/>
          <w:szCs w:val="28"/>
          <w:lang w:val="sv-SE"/>
        </w:rPr>
        <w:t xml:space="preserve">bảo đảm hoạt động </w:t>
      </w:r>
      <w:r w:rsidRPr="00A61C44">
        <w:rPr>
          <w:iCs/>
          <w:color w:val="auto"/>
          <w:sz w:val="28"/>
          <w:szCs w:val="28"/>
          <w:lang w:val="pt-BR"/>
        </w:rPr>
        <w:t>ổn định, an toàn</w:t>
      </w:r>
      <w:r w:rsidR="007B54CA">
        <w:rPr>
          <w:iCs/>
          <w:color w:val="auto"/>
          <w:sz w:val="28"/>
          <w:szCs w:val="28"/>
          <w:lang w:val="pt-BR"/>
        </w:rPr>
        <w:t xml:space="preserve">, công khai, minh bạch </w:t>
      </w:r>
      <w:r w:rsidRPr="00A61C44">
        <w:rPr>
          <w:iCs/>
          <w:color w:val="auto"/>
          <w:sz w:val="28"/>
          <w:szCs w:val="28"/>
          <w:lang w:val="pt-BR"/>
        </w:rPr>
        <w:t xml:space="preserve">của </w:t>
      </w:r>
      <w:r w:rsidR="007B54CA">
        <w:rPr>
          <w:iCs/>
          <w:color w:val="auto"/>
          <w:sz w:val="28"/>
          <w:szCs w:val="28"/>
          <w:lang w:val="pt-BR"/>
        </w:rPr>
        <w:t>TTCK,</w:t>
      </w:r>
      <w:r w:rsidRPr="00A61C44">
        <w:rPr>
          <w:iCs/>
          <w:color w:val="auto"/>
          <w:sz w:val="28"/>
          <w:szCs w:val="28"/>
          <w:lang w:val="pt-BR"/>
        </w:rPr>
        <w:t xml:space="preserve"> b</w:t>
      </w:r>
      <w:r w:rsidRPr="00A61C44">
        <w:rPr>
          <w:color w:val="auto"/>
          <w:sz w:val="28"/>
          <w:szCs w:val="28"/>
          <w:lang w:val="pt-BR"/>
        </w:rPr>
        <w:t>ảo vệ quyền, lợi ích hợp pháp của các chủ thể tham gia thị trường</w:t>
      </w:r>
      <w:r w:rsidR="007B54CA">
        <w:rPr>
          <w:color w:val="auto"/>
          <w:sz w:val="28"/>
          <w:szCs w:val="28"/>
          <w:lang w:val="pt-BR"/>
        </w:rPr>
        <w:t xml:space="preserve">; bảo đảm thực thi các quy định pháp luật mới về chứng khoán, </w:t>
      </w:r>
      <w:r w:rsidR="007C365B">
        <w:rPr>
          <w:color w:val="auto"/>
          <w:sz w:val="28"/>
          <w:szCs w:val="28"/>
          <w:lang w:val="pt-BR"/>
        </w:rPr>
        <w:t xml:space="preserve">phù hợp với các văn bản pháp luật liên quan, </w:t>
      </w:r>
      <w:r w:rsidR="007B54CA">
        <w:rPr>
          <w:color w:val="auto"/>
          <w:sz w:val="28"/>
          <w:szCs w:val="28"/>
          <w:lang w:val="pt-BR"/>
        </w:rPr>
        <w:t>đặc biệt là bảo đảm cho sự hình thành và phát triển của thị trường mới là TTCK</w:t>
      </w:r>
      <w:r w:rsidR="002941EB">
        <w:rPr>
          <w:color w:val="auto"/>
          <w:sz w:val="28"/>
          <w:szCs w:val="28"/>
          <w:lang w:val="pt-BR"/>
        </w:rPr>
        <w:t xml:space="preserve"> phái sinh</w:t>
      </w:r>
      <w:r w:rsidR="00EF6287">
        <w:rPr>
          <w:color w:val="auto"/>
          <w:sz w:val="28"/>
          <w:szCs w:val="28"/>
          <w:lang w:val="pt-BR"/>
        </w:rPr>
        <w:t>, phòng ngừa rủi ro cho hoạt động củ</w:t>
      </w:r>
      <w:r w:rsidR="002941EB">
        <w:rPr>
          <w:color w:val="auto"/>
          <w:sz w:val="28"/>
          <w:szCs w:val="28"/>
          <w:lang w:val="pt-BR"/>
        </w:rPr>
        <w:t>a TTCK phái sinh</w:t>
      </w:r>
      <w:r w:rsidRPr="00A61C44">
        <w:rPr>
          <w:color w:val="auto"/>
          <w:sz w:val="28"/>
          <w:szCs w:val="28"/>
          <w:lang w:val="pt-BR"/>
        </w:rPr>
        <w:t>.</w:t>
      </w:r>
      <w:r w:rsidR="00EF6287">
        <w:rPr>
          <w:color w:val="auto"/>
          <w:sz w:val="28"/>
          <w:szCs w:val="28"/>
          <w:lang w:val="pt-BR"/>
        </w:rPr>
        <w:t xml:space="preserve"> </w:t>
      </w:r>
    </w:p>
    <w:p w:rsidR="005306D8" w:rsidRPr="007B54CA" w:rsidRDefault="005306D8" w:rsidP="00EF6287">
      <w:pPr>
        <w:spacing w:before="120" w:after="120"/>
        <w:ind w:firstLine="720"/>
        <w:rPr>
          <w:color w:val="auto"/>
          <w:sz w:val="28"/>
          <w:szCs w:val="28"/>
          <w:lang w:val="pt-BR"/>
        </w:rPr>
      </w:pPr>
      <w:r w:rsidRPr="007B54CA">
        <w:rPr>
          <w:color w:val="auto"/>
          <w:sz w:val="28"/>
          <w:szCs w:val="28"/>
          <w:lang w:val="pt-BR"/>
        </w:rPr>
        <w:t xml:space="preserve">- </w:t>
      </w:r>
      <w:r w:rsidR="00836E20">
        <w:rPr>
          <w:color w:val="auto"/>
          <w:sz w:val="28"/>
          <w:szCs w:val="28"/>
          <w:lang w:val="pt-BR"/>
        </w:rPr>
        <w:t>S</w:t>
      </w:r>
      <w:r w:rsidR="00DC0C6D">
        <w:rPr>
          <w:color w:val="auto"/>
          <w:sz w:val="28"/>
          <w:szCs w:val="28"/>
          <w:lang w:val="pt-BR"/>
        </w:rPr>
        <w:t>ửa đổi chế tài xử phạt phù hợp với thực tiễn xử lý vi phạm hành chính trên thị trường</w:t>
      </w:r>
      <w:r w:rsidR="00836E20">
        <w:rPr>
          <w:color w:val="auto"/>
          <w:sz w:val="28"/>
          <w:szCs w:val="28"/>
          <w:lang w:val="pt-BR"/>
        </w:rPr>
        <w:t xml:space="preserve">, </w:t>
      </w:r>
      <w:r w:rsidRPr="007B54CA">
        <w:rPr>
          <w:color w:val="auto"/>
          <w:sz w:val="28"/>
          <w:szCs w:val="28"/>
          <w:lang w:val="pt-BR"/>
        </w:rPr>
        <w:t xml:space="preserve">đảm bảo tính </w:t>
      </w:r>
      <w:r w:rsidR="00DC0C6D">
        <w:rPr>
          <w:color w:val="auto"/>
          <w:sz w:val="28"/>
          <w:szCs w:val="28"/>
          <w:lang w:val="pt-BR"/>
        </w:rPr>
        <w:t xml:space="preserve">phù hợp, tương ứng giữa tính chất, mức độ vi phạm với mức phạt, </w:t>
      </w:r>
      <w:r w:rsidR="00EF6287">
        <w:rPr>
          <w:color w:val="auto"/>
          <w:sz w:val="28"/>
          <w:szCs w:val="28"/>
          <w:lang w:val="pt-BR"/>
        </w:rPr>
        <w:t xml:space="preserve">góp phần giảm thiểu ảnh hưởng tiêu cực tới tâm lý, niềm tin và tính công bằng của thị trường; tiếp tục đảm bảo răn đe, phòng ngừa vi phạm </w:t>
      </w:r>
      <w:r w:rsidR="00EF6287" w:rsidRPr="007B54CA">
        <w:rPr>
          <w:color w:val="auto"/>
          <w:sz w:val="28"/>
          <w:szCs w:val="28"/>
          <w:lang w:val="pt-BR"/>
        </w:rPr>
        <w:t xml:space="preserve">đồng thời </w:t>
      </w:r>
      <w:r w:rsidR="00EF6287" w:rsidRPr="007B54CA">
        <w:rPr>
          <w:iCs/>
          <w:color w:val="auto"/>
          <w:sz w:val="28"/>
          <w:szCs w:val="28"/>
          <w:lang w:val="pt-BR"/>
        </w:rPr>
        <w:t xml:space="preserve">nâng cao ý thức tôn trọng và tuân thủ pháp luật về chứng khoán của </w:t>
      </w:r>
      <w:r w:rsidR="00EF6287">
        <w:rPr>
          <w:iCs/>
          <w:color w:val="auto"/>
          <w:sz w:val="28"/>
          <w:szCs w:val="28"/>
          <w:lang w:val="pt-BR"/>
        </w:rPr>
        <w:t>các</w:t>
      </w:r>
      <w:r w:rsidR="00EF6287" w:rsidRPr="007B54CA">
        <w:rPr>
          <w:iCs/>
          <w:color w:val="auto"/>
          <w:sz w:val="28"/>
          <w:szCs w:val="28"/>
          <w:lang w:val="pt-BR"/>
        </w:rPr>
        <w:t xml:space="preserve"> </w:t>
      </w:r>
      <w:r w:rsidR="00EF6287">
        <w:rPr>
          <w:iCs/>
          <w:color w:val="auto"/>
          <w:sz w:val="28"/>
          <w:szCs w:val="28"/>
          <w:lang w:val="pt-BR"/>
        </w:rPr>
        <w:t xml:space="preserve">tổ chức, </w:t>
      </w:r>
      <w:r w:rsidR="00EF6287" w:rsidRPr="007B54CA">
        <w:rPr>
          <w:iCs/>
          <w:color w:val="auto"/>
          <w:sz w:val="28"/>
          <w:szCs w:val="28"/>
          <w:lang w:val="pt-BR"/>
        </w:rPr>
        <w:t>cá nhân tham gia thị trường.</w:t>
      </w:r>
      <w:r w:rsidRPr="007B54CA">
        <w:rPr>
          <w:color w:val="auto"/>
          <w:sz w:val="28"/>
          <w:szCs w:val="28"/>
          <w:lang w:val="pt-BR"/>
        </w:rPr>
        <w:t xml:space="preserve"> </w:t>
      </w:r>
    </w:p>
    <w:p w:rsidR="00077456" w:rsidRDefault="005306D8" w:rsidP="00077456">
      <w:pPr>
        <w:spacing w:before="120" w:after="120"/>
        <w:ind w:firstLine="720"/>
        <w:rPr>
          <w:iCs/>
          <w:color w:val="auto"/>
          <w:sz w:val="28"/>
          <w:szCs w:val="28"/>
          <w:lang w:val="pt-BR"/>
        </w:rPr>
      </w:pPr>
      <w:r w:rsidRPr="007B54CA">
        <w:rPr>
          <w:iCs/>
          <w:color w:val="auto"/>
          <w:sz w:val="28"/>
          <w:szCs w:val="28"/>
          <w:lang w:val="pt-BR"/>
        </w:rPr>
        <w:t xml:space="preserve">- </w:t>
      </w:r>
      <w:r w:rsidR="00836E20">
        <w:rPr>
          <w:color w:val="auto"/>
          <w:sz w:val="28"/>
          <w:szCs w:val="28"/>
          <w:lang w:val="sv-SE"/>
        </w:rPr>
        <w:t>K</w:t>
      </w:r>
      <w:r w:rsidRPr="007B54CA">
        <w:rPr>
          <w:color w:val="auto"/>
          <w:sz w:val="28"/>
          <w:szCs w:val="28"/>
          <w:lang w:val="pt-BR"/>
        </w:rPr>
        <w:t xml:space="preserve">ế thừa các quy định pháp luật hiện hành phù hợp với thực tiễn, </w:t>
      </w:r>
      <w:r w:rsidR="00EF6287">
        <w:rPr>
          <w:color w:val="auto"/>
          <w:sz w:val="28"/>
          <w:szCs w:val="28"/>
          <w:lang w:val="pt-BR"/>
        </w:rPr>
        <w:t xml:space="preserve">sửa đổi </w:t>
      </w:r>
      <w:r w:rsidRPr="007B54CA">
        <w:rPr>
          <w:color w:val="auto"/>
          <w:sz w:val="28"/>
          <w:szCs w:val="28"/>
          <w:lang w:val="pt-BR"/>
        </w:rPr>
        <w:t>những quy định không còn phù hợp và bổ sung các quy định mới cho phù hợp với thực tế, đảm bảo tính thống nhất, đồng bộ của các văn bản pháp luật</w:t>
      </w:r>
      <w:r w:rsidR="00013426">
        <w:rPr>
          <w:color w:val="auto"/>
          <w:sz w:val="28"/>
          <w:szCs w:val="28"/>
          <w:lang w:val="pt-BR"/>
        </w:rPr>
        <w:t>,</w:t>
      </w:r>
      <w:r w:rsidRPr="007B54CA">
        <w:rPr>
          <w:color w:val="auto"/>
          <w:sz w:val="28"/>
          <w:szCs w:val="28"/>
          <w:lang w:val="pt-BR"/>
        </w:rPr>
        <w:t xml:space="preserve"> </w:t>
      </w:r>
      <w:r w:rsidRPr="007B54CA">
        <w:rPr>
          <w:iCs/>
          <w:color w:val="auto"/>
          <w:sz w:val="28"/>
          <w:szCs w:val="28"/>
          <w:lang w:val="pt-BR"/>
        </w:rPr>
        <w:t xml:space="preserve">góp phần hoàn thiện khung pháp lý </w:t>
      </w:r>
      <w:r w:rsidR="007C365B">
        <w:rPr>
          <w:iCs/>
          <w:color w:val="auto"/>
          <w:sz w:val="28"/>
          <w:szCs w:val="28"/>
          <w:lang w:val="pt-BR"/>
        </w:rPr>
        <w:t>TTCK</w:t>
      </w:r>
      <w:r w:rsidRPr="007B54CA">
        <w:rPr>
          <w:iCs/>
          <w:color w:val="auto"/>
          <w:sz w:val="28"/>
          <w:szCs w:val="28"/>
          <w:lang w:val="pt-BR"/>
        </w:rPr>
        <w:t xml:space="preserve"> nói riêng và hệ thống pháp luật nói chung.</w:t>
      </w:r>
    </w:p>
    <w:p w:rsidR="005306D8" w:rsidRPr="00077456" w:rsidRDefault="00270A35" w:rsidP="00077456">
      <w:pPr>
        <w:spacing w:before="120" w:after="120"/>
        <w:rPr>
          <w:iCs/>
          <w:color w:val="auto"/>
          <w:sz w:val="28"/>
          <w:szCs w:val="28"/>
          <w:lang w:val="pt-BR"/>
        </w:rPr>
      </w:pPr>
      <w:r>
        <w:rPr>
          <w:b/>
          <w:color w:val="auto"/>
          <w:sz w:val="28"/>
          <w:szCs w:val="28"/>
          <w:lang w:val="pt-BR"/>
        </w:rPr>
        <w:lastRenderedPageBreak/>
        <w:t>4</w:t>
      </w:r>
      <w:r w:rsidR="005306D8" w:rsidRPr="00A61C44">
        <w:rPr>
          <w:b/>
          <w:color w:val="auto"/>
          <w:sz w:val="28"/>
          <w:szCs w:val="28"/>
          <w:lang w:val="pt-BR"/>
        </w:rPr>
        <w:t>. Các phương án giải quyết vấn đề</w:t>
      </w:r>
    </w:p>
    <w:p w:rsidR="002941EB" w:rsidRDefault="00E05552" w:rsidP="00E67C8A">
      <w:pPr>
        <w:spacing w:before="120" w:after="120"/>
        <w:ind w:firstLine="720"/>
        <w:rPr>
          <w:color w:val="auto"/>
          <w:sz w:val="28"/>
          <w:szCs w:val="28"/>
          <w:lang w:val="pt-BR"/>
        </w:rPr>
      </w:pPr>
      <w:r w:rsidRPr="00E05552">
        <w:rPr>
          <w:color w:val="auto"/>
          <w:sz w:val="28"/>
          <w:szCs w:val="28"/>
          <w:lang w:val="sv-SE"/>
        </w:rPr>
        <w:t>Nghị đị</w:t>
      </w:r>
      <w:r w:rsidR="00103245">
        <w:rPr>
          <w:color w:val="auto"/>
          <w:sz w:val="28"/>
          <w:szCs w:val="28"/>
          <w:lang w:val="sv-SE"/>
        </w:rPr>
        <w:t xml:space="preserve">nh </w:t>
      </w:r>
      <w:r w:rsidR="005306D8" w:rsidRPr="00E05552">
        <w:rPr>
          <w:rFonts w:eastAsia="Times New Roman"/>
          <w:color w:val="auto"/>
          <w:sz w:val="28"/>
          <w:szCs w:val="28"/>
          <w:lang w:val="pt-BR"/>
        </w:rPr>
        <w:t xml:space="preserve">được xây dựng trên cơ sở nghiên cứu thu thập và xử lý tài liệu, phân tích, tổng hợp, khảo sát thực tế, </w:t>
      </w:r>
      <w:r w:rsidR="005306D8" w:rsidRPr="00E05552">
        <w:rPr>
          <w:color w:val="auto"/>
          <w:sz w:val="28"/>
          <w:szCs w:val="28"/>
          <w:lang w:val="pt-BR"/>
        </w:rPr>
        <w:t>đối chiếu các quy định hiện hành và thực tế.</w:t>
      </w:r>
      <w:r w:rsidRPr="00E05552">
        <w:rPr>
          <w:color w:val="auto"/>
          <w:sz w:val="28"/>
          <w:szCs w:val="28"/>
          <w:lang w:val="pt-BR"/>
        </w:rPr>
        <w:t xml:space="preserve"> </w:t>
      </w:r>
    </w:p>
    <w:p w:rsidR="005306D8" w:rsidRPr="00E05552" w:rsidRDefault="005306D8" w:rsidP="00E67C8A">
      <w:pPr>
        <w:spacing w:before="120" w:after="120"/>
        <w:ind w:firstLine="720"/>
        <w:rPr>
          <w:b/>
          <w:color w:val="auto"/>
          <w:sz w:val="28"/>
          <w:szCs w:val="28"/>
          <w:lang w:val="pt-BR"/>
        </w:rPr>
      </w:pPr>
      <w:r w:rsidRPr="00E05552">
        <w:rPr>
          <w:color w:val="auto"/>
          <w:sz w:val="28"/>
          <w:szCs w:val="28"/>
          <w:lang w:val="pt-BR"/>
        </w:rPr>
        <w:t xml:space="preserve">Trên cơ sở tổng kết, đánh giá </w:t>
      </w:r>
      <w:r w:rsidR="00E05552" w:rsidRPr="00E05552">
        <w:rPr>
          <w:color w:val="auto"/>
          <w:sz w:val="28"/>
          <w:szCs w:val="28"/>
          <w:lang w:val="pt-BR"/>
        </w:rPr>
        <w:t xml:space="preserve">tình hình hoạt động của TTCK, tình hình thực thi Nghị định </w:t>
      </w:r>
      <w:r w:rsidR="00103245">
        <w:rPr>
          <w:color w:val="auto"/>
          <w:sz w:val="28"/>
          <w:szCs w:val="28"/>
          <w:lang w:val="pt-BR"/>
        </w:rPr>
        <w:t>108</w:t>
      </w:r>
      <w:r w:rsidRPr="00E05552">
        <w:rPr>
          <w:color w:val="auto"/>
          <w:sz w:val="28"/>
          <w:szCs w:val="28"/>
          <w:lang w:val="pt-BR"/>
        </w:rPr>
        <w:t xml:space="preserve"> về thực trạng vi phạm pháp luật</w:t>
      </w:r>
      <w:r w:rsidR="00E05552" w:rsidRPr="00E05552">
        <w:rPr>
          <w:color w:val="auto"/>
          <w:sz w:val="28"/>
          <w:szCs w:val="28"/>
          <w:lang w:val="pt-BR"/>
        </w:rPr>
        <w:t xml:space="preserve">, việc áp dụng các quy định xử phạt hành chính, </w:t>
      </w:r>
      <w:r w:rsidRPr="00E05552">
        <w:rPr>
          <w:color w:val="auto"/>
          <w:sz w:val="28"/>
          <w:szCs w:val="28"/>
          <w:lang w:val="pt-BR"/>
        </w:rPr>
        <w:t xml:space="preserve">cũng như </w:t>
      </w:r>
      <w:r w:rsidR="00E05552" w:rsidRPr="00E05552">
        <w:rPr>
          <w:color w:val="auto"/>
          <w:sz w:val="28"/>
          <w:szCs w:val="28"/>
          <w:lang w:val="pt-BR"/>
        </w:rPr>
        <w:t xml:space="preserve">rà soát, đánh giá </w:t>
      </w:r>
      <w:r w:rsidRPr="00E05552">
        <w:rPr>
          <w:color w:val="auto"/>
          <w:sz w:val="28"/>
          <w:szCs w:val="28"/>
          <w:lang w:val="pt-BR"/>
        </w:rPr>
        <w:t>các quy định pháp luật</w:t>
      </w:r>
      <w:r w:rsidR="00E05552" w:rsidRPr="00E05552">
        <w:rPr>
          <w:color w:val="auto"/>
          <w:sz w:val="28"/>
          <w:szCs w:val="28"/>
          <w:lang w:val="pt-BR"/>
        </w:rPr>
        <w:t xml:space="preserve"> mới ban hành</w:t>
      </w:r>
      <w:r w:rsidRPr="00E05552">
        <w:rPr>
          <w:color w:val="auto"/>
          <w:sz w:val="28"/>
          <w:szCs w:val="28"/>
          <w:lang w:val="pt-BR"/>
        </w:rPr>
        <w:t xml:space="preserve">, Bộ Tài chính (Ủy ban Chứng khoán Nhà nước) đã xây dựng nội dung dự thảo </w:t>
      </w:r>
      <w:r w:rsidR="00E05552" w:rsidRPr="00E05552">
        <w:rPr>
          <w:color w:val="auto"/>
          <w:sz w:val="28"/>
          <w:szCs w:val="28"/>
          <w:lang w:val="sv-SE"/>
        </w:rPr>
        <w:t>Nghị định</w:t>
      </w:r>
      <w:r w:rsidR="00103245">
        <w:rPr>
          <w:color w:val="auto"/>
          <w:sz w:val="28"/>
          <w:szCs w:val="28"/>
          <w:lang w:val="sv-SE"/>
        </w:rPr>
        <w:t xml:space="preserve">. </w:t>
      </w:r>
      <w:r w:rsidRPr="00E05552">
        <w:rPr>
          <w:color w:val="auto"/>
          <w:sz w:val="28"/>
          <w:szCs w:val="28"/>
          <w:lang w:val="pt-BR"/>
        </w:rPr>
        <w:t>Dự thảo đã được đưa ra lấy ý kiến rộng rãi của Bộ ngành và các đối tượng chịu sự tác động của dự thảo gồm: các tổ chức niêm yết, công ty đại chúng, công ty chứng khoán, công ty quản lý quỹ</w:t>
      </w:r>
      <w:r w:rsidR="00E05552" w:rsidRPr="00E05552">
        <w:rPr>
          <w:color w:val="auto"/>
          <w:sz w:val="28"/>
          <w:szCs w:val="28"/>
          <w:lang w:val="pt-BR"/>
        </w:rPr>
        <w:t>, nhà đầu tư</w:t>
      </w:r>
      <w:r w:rsidRPr="00E05552">
        <w:rPr>
          <w:color w:val="auto"/>
          <w:sz w:val="28"/>
          <w:szCs w:val="28"/>
          <w:lang w:val="pt-BR"/>
        </w:rPr>
        <w:t>… cũng như các chuyên gia và các cơ quản quản lý nhà nước khác.</w:t>
      </w:r>
    </w:p>
    <w:p w:rsidR="005306D8" w:rsidRPr="00A61C44" w:rsidRDefault="00270A35" w:rsidP="00E67C8A">
      <w:pPr>
        <w:spacing w:before="120" w:after="120"/>
        <w:rPr>
          <w:b/>
          <w:color w:val="auto"/>
          <w:sz w:val="28"/>
          <w:szCs w:val="28"/>
          <w:lang w:val="pt-BR"/>
        </w:rPr>
      </w:pPr>
      <w:r>
        <w:rPr>
          <w:b/>
          <w:color w:val="auto"/>
          <w:sz w:val="28"/>
          <w:szCs w:val="28"/>
          <w:lang w:val="pt-BR"/>
        </w:rPr>
        <w:t>5</w:t>
      </w:r>
      <w:r w:rsidR="005306D8" w:rsidRPr="00A61C44">
        <w:rPr>
          <w:b/>
          <w:color w:val="auto"/>
          <w:sz w:val="28"/>
          <w:szCs w:val="28"/>
          <w:lang w:val="pt-BR"/>
        </w:rPr>
        <w:t>. Tác động về kinh tế, xã hội, môi trường pháp luật</w:t>
      </w:r>
    </w:p>
    <w:p w:rsidR="005306D8" w:rsidRPr="002C6EE8" w:rsidRDefault="005306D8" w:rsidP="00E67C8A">
      <w:pPr>
        <w:spacing w:before="120" w:after="120"/>
        <w:ind w:firstLine="720"/>
        <w:rPr>
          <w:color w:val="auto"/>
          <w:sz w:val="28"/>
          <w:szCs w:val="28"/>
          <w:lang w:val="pt-BR"/>
        </w:rPr>
      </w:pPr>
      <w:r w:rsidRPr="002C6EE8">
        <w:rPr>
          <w:color w:val="auto"/>
          <w:sz w:val="28"/>
          <w:szCs w:val="28"/>
          <w:lang w:val="pt-BR"/>
        </w:rPr>
        <w:t>Nghị định được ban hành có những tác động tích cực đến các mặt kinh tế, xã hội và môi trường pháp luật, cụ thể như sau:</w:t>
      </w:r>
    </w:p>
    <w:p w:rsidR="005306D8" w:rsidRPr="00E67C8A" w:rsidRDefault="005306D8" w:rsidP="00E67C8A">
      <w:pPr>
        <w:spacing w:before="120" w:after="120"/>
        <w:ind w:firstLine="720"/>
        <w:rPr>
          <w:rFonts w:eastAsia="Times New Roman"/>
          <w:color w:val="FF0000"/>
          <w:sz w:val="28"/>
          <w:szCs w:val="28"/>
          <w:lang w:val="pt-BR"/>
        </w:rPr>
      </w:pPr>
      <w:r w:rsidRPr="002C6EE8">
        <w:rPr>
          <w:color w:val="auto"/>
          <w:sz w:val="28"/>
          <w:szCs w:val="28"/>
          <w:lang w:val="pt-BR"/>
        </w:rPr>
        <w:t xml:space="preserve">- Nghị định có vai trò </w:t>
      </w:r>
      <w:r w:rsidRPr="002C6EE8">
        <w:rPr>
          <w:rFonts w:eastAsia="Times New Roman"/>
          <w:color w:val="auto"/>
          <w:sz w:val="28"/>
          <w:szCs w:val="28"/>
          <w:lang w:val="pt-BR"/>
        </w:rPr>
        <w:t xml:space="preserve">ngăn ngừa, hạn chế vi phạm pháp luật </w:t>
      </w:r>
      <w:r w:rsidR="002C6EE8">
        <w:rPr>
          <w:rFonts w:eastAsia="Times New Roman"/>
          <w:color w:val="auto"/>
          <w:sz w:val="28"/>
          <w:szCs w:val="28"/>
          <w:lang w:val="pt-BR"/>
        </w:rPr>
        <w:t xml:space="preserve">về </w:t>
      </w:r>
      <w:r w:rsidRPr="002C6EE8">
        <w:rPr>
          <w:rFonts w:eastAsia="Times New Roman"/>
          <w:color w:val="auto"/>
          <w:sz w:val="28"/>
          <w:szCs w:val="28"/>
          <w:lang w:val="pt-BR"/>
        </w:rPr>
        <w:t xml:space="preserve"> chứng khoán của các tổ chức và cá nhân tham gia thị trường, đảm bảo </w:t>
      </w:r>
      <w:r w:rsidR="002C6EE8">
        <w:rPr>
          <w:rFonts w:eastAsia="Times New Roman"/>
          <w:color w:val="auto"/>
          <w:sz w:val="28"/>
          <w:szCs w:val="28"/>
          <w:lang w:val="pt-BR"/>
        </w:rPr>
        <w:t>TTCK</w:t>
      </w:r>
      <w:r w:rsidRPr="002C6EE8">
        <w:rPr>
          <w:rFonts w:eastAsia="Times New Roman"/>
          <w:color w:val="auto"/>
          <w:sz w:val="28"/>
          <w:szCs w:val="28"/>
          <w:lang w:val="pt-BR"/>
        </w:rPr>
        <w:t xml:space="preserve"> hoạt động </w:t>
      </w:r>
      <w:r w:rsidR="002C6EE8" w:rsidRPr="002C6EE8">
        <w:rPr>
          <w:rFonts w:eastAsia="Times New Roman"/>
          <w:color w:val="auto"/>
          <w:sz w:val="28"/>
          <w:szCs w:val="28"/>
          <w:lang w:val="pt-BR"/>
        </w:rPr>
        <w:t>ổn định</w:t>
      </w:r>
      <w:r w:rsidRPr="002C6EE8">
        <w:rPr>
          <w:rFonts w:eastAsia="Times New Roman"/>
          <w:color w:val="auto"/>
          <w:sz w:val="28"/>
          <w:szCs w:val="28"/>
          <w:lang w:val="pt-BR"/>
        </w:rPr>
        <w:t xml:space="preserve">, </w:t>
      </w:r>
      <w:r w:rsidRPr="002C6EE8">
        <w:rPr>
          <w:color w:val="auto"/>
          <w:sz w:val="28"/>
          <w:szCs w:val="28"/>
          <w:lang w:val="pt-BR"/>
        </w:rPr>
        <w:t xml:space="preserve">góp phần tạo ra môi trường </w:t>
      </w:r>
      <w:r w:rsidR="002C6EE8" w:rsidRPr="002C6EE8">
        <w:rPr>
          <w:color w:val="auto"/>
          <w:sz w:val="28"/>
          <w:szCs w:val="28"/>
          <w:lang w:val="pt-BR"/>
        </w:rPr>
        <w:t xml:space="preserve">thông tin minh bạch, môi trường </w:t>
      </w:r>
      <w:r w:rsidRPr="002C6EE8">
        <w:rPr>
          <w:color w:val="auto"/>
          <w:sz w:val="28"/>
          <w:szCs w:val="28"/>
          <w:lang w:val="pt-BR"/>
        </w:rPr>
        <w:t>kinh doanh</w:t>
      </w:r>
      <w:r w:rsidR="00103245">
        <w:rPr>
          <w:color w:val="auto"/>
          <w:sz w:val="28"/>
          <w:szCs w:val="28"/>
          <w:lang w:val="pt-BR"/>
        </w:rPr>
        <w:t xml:space="preserve"> </w:t>
      </w:r>
      <w:r w:rsidR="002C6EE8" w:rsidRPr="002C6EE8">
        <w:rPr>
          <w:color w:val="auto"/>
          <w:sz w:val="28"/>
          <w:szCs w:val="28"/>
          <w:lang w:val="pt-BR"/>
        </w:rPr>
        <w:t>-</w:t>
      </w:r>
      <w:r w:rsidR="00103245">
        <w:rPr>
          <w:color w:val="auto"/>
          <w:sz w:val="28"/>
          <w:szCs w:val="28"/>
          <w:lang w:val="pt-BR"/>
        </w:rPr>
        <w:t xml:space="preserve"> </w:t>
      </w:r>
      <w:r w:rsidR="002C6EE8" w:rsidRPr="002C6EE8">
        <w:rPr>
          <w:color w:val="auto"/>
          <w:sz w:val="28"/>
          <w:szCs w:val="28"/>
          <w:lang w:val="pt-BR"/>
        </w:rPr>
        <w:t>đầu tư</w:t>
      </w:r>
      <w:r w:rsidRPr="002C6EE8">
        <w:rPr>
          <w:color w:val="auto"/>
          <w:sz w:val="28"/>
          <w:szCs w:val="28"/>
          <w:lang w:val="pt-BR"/>
        </w:rPr>
        <w:t xml:space="preserve"> </w:t>
      </w:r>
      <w:r w:rsidRPr="002C6EE8">
        <w:rPr>
          <w:rFonts w:eastAsia="Times New Roman"/>
          <w:color w:val="auto"/>
          <w:sz w:val="28"/>
          <w:szCs w:val="28"/>
          <w:lang w:val="pt-BR"/>
        </w:rPr>
        <w:t xml:space="preserve">có hiệu quả, </w:t>
      </w:r>
      <w:r w:rsidRPr="002C6EE8">
        <w:rPr>
          <w:color w:val="auto"/>
          <w:sz w:val="28"/>
          <w:szCs w:val="28"/>
          <w:lang w:val="pt-BR"/>
        </w:rPr>
        <w:t>công bằng, công khai</w:t>
      </w:r>
      <w:r w:rsidR="002C6EE8" w:rsidRPr="002C6EE8">
        <w:rPr>
          <w:color w:val="auto"/>
          <w:sz w:val="28"/>
          <w:szCs w:val="28"/>
          <w:lang w:val="pt-BR"/>
        </w:rPr>
        <w:t>,</w:t>
      </w:r>
      <w:r w:rsidRPr="002C6EE8">
        <w:rPr>
          <w:color w:val="auto"/>
          <w:sz w:val="28"/>
          <w:szCs w:val="28"/>
          <w:lang w:val="pt-BR"/>
        </w:rPr>
        <w:t xml:space="preserve"> </w:t>
      </w:r>
      <w:r w:rsidRPr="002C6EE8">
        <w:rPr>
          <w:rFonts w:eastAsia="Times New Roman"/>
          <w:color w:val="auto"/>
          <w:sz w:val="28"/>
          <w:szCs w:val="28"/>
          <w:lang w:val="pt-BR"/>
        </w:rPr>
        <w:t xml:space="preserve">vì quyền và lợi ích </w:t>
      </w:r>
      <w:r w:rsidR="002C6EE8" w:rsidRPr="002C6EE8">
        <w:rPr>
          <w:rFonts w:eastAsia="Times New Roman"/>
          <w:color w:val="auto"/>
          <w:sz w:val="28"/>
          <w:szCs w:val="28"/>
          <w:lang w:val="pt-BR"/>
        </w:rPr>
        <w:t xml:space="preserve">hợp pháp </w:t>
      </w:r>
      <w:r w:rsidRPr="002C6EE8">
        <w:rPr>
          <w:rFonts w:eastAsia="Times New Roman"/>
          <w:color w:val="auto"/>
          <w:sz w:val="28"/>
          <w:szCs w:val="28"/>
          <w:lang w:val="pt-BR"/>
        </w:rPr>
        <w:t>của nhà đầu tư</w:t>
      </w:r>
      <w:r w:rsidR="002C6EE8" w:rsidRPr="002C6EE8">
        <w:rPr>
          <w:rFonts w:eastAsia="Times New Roman"/>
          <w:color w:val="auto"/>
          <w:sz w:val="28"/>
          <w:szCs w:val="28"/>
          <w:lang w:val="pt-BR"/>
        </w:rPr>
        <w:t>, tổ chức, cá nhân tham gia thị trường cũng như liên quan đến hoạt động của các thành viên thị trường</w:t>
      </w:r>
      <w:r w:rsidRPr="002C6EE8">
        <w:rPr>
          <w:rFonts w:eastAsia="Times New Roman"/>
          <w:color w:val="auto"/>
          <w:sz w:val="28"/>
          <w:szCs w:val="28"/>
          <w:lang w:val="pt-BR"/>
        </w:rPr>
        <w:t>.</w:t>
      </w:r>
      <w:r w:rsidR="00FD4D69">
        <w:rPr>
          <w:rFonts w:eastAsia="Times New Roman"/>
          <w:color w:val="auto"/>
          <w:sz w:val="28"/>
          <w:szCs w:val="28"/>
          <w:lang w:val="pt-BR"/>
        </w:rPr>
        <w:t xml:space="preserve"> Thực tiễn quản lý, giám sát, thanh kiểm tra và xử lý vi phạm về chứng khoán trong thời gian qua đã cho thấy</w:t>
      </w:r>
      <w:r w:rsidRPr="00E67C8A">
        <w:rPr>
          <w:rFonts w:eastAsia="Times New Roman"/>
          <w:color w:val="FF0000"/>
          <w:sz w:val="28"/>
          <w:szCs w:val="28"/>
          <w:lang w:val="pt-BR"/>
        </w:rPr>
        <w:t xml:space="preserve"> </w:t>
      </w:r>
      <w:r w:rsidR="00FD4D69" w:rsidRPr="00FD4D69">
        <w:rPr>
          <w:rFonts w:eastAsia="Times New Roman"/>
          <w:color w:val="auto"/>
          <w:sz w:val="28"/>
          <w:szCs w:val="28"/>
          <w:lang w:val="pt-BR"/>
        </w:rPr>
        <w:t xml:space="preserve">trong bối cảnh </w:t>
      </w:r>
      <w:r w:rsidR="00FD4D69">
        <w:rPr>
          <w:rFonts w:eastAsia="Times New Roman"/>
          <w:color w:val="auto"/>
          <w:sz w:val="28"/>
          <w:szCs w:val="28"/>
          <w:lang w:val="pt-BR"/>
        </w:rPr>
        <w:t xml:space="preserve">số lượng tổ chức, cá nhân tham gia thị trường ngày càng nhiều, đặc biệt </w:t>
      </w:r>
      <w:r w:rsidR="00E302D4">
        <w:rPr>
          <w:rFonts w:eastAsia="Times New Roman"/>
          <w:color w:val="auto"/>
          <w:sz w:val="28"/>
          <w:szCs w:val="28"/>
          <w:lang w:val="pt-BR"/>
        </w:rPr>
        <w:t>là quá trình cổ phần hóa doanh nghiệp nhà nước, các sản phẩm, dịch vụ tài chính ngày càng được mở rộng, đặc biệt là sự phát triển các sản phẩm tài chính phái sinh có tính chất phức tạp, có nhiều</w:t>
      </w:r>
      <w:r w:rsidRPr="00FD4D69">
        <w:rPr>
          <w:rFonts w:eastAsia="Times New Roman"/>
          <w:color w:val="auto"/>
          <w:sz w:val="28"/>
          <w:szCs w:val="28"/>
          <w:lang w:val="pt-BR"/>
        </w:rPr>
        <w:t xml:space="preserve"> </w:t>
      </w:r>
      <w:r w:rsidR="00E302D4">
        <w:rPr>
          <w:rFonts w:eastAsia="Times New Roman"/>
          <w:color w:val="auto"/>
          <w:sz w:val="28"/>
          <w:szCs w:val="28"/>
          <w:lang w:val="pt-BR"/>
        </w:rPr>
        <w:t xml:space="preserve">hoạt động và giao dịch </w:t>
      </w:r>
      <w:r w:rsidRPr="00FD4D69">
        <w:rPr>
          <w:rFonts w:eastAsia="Times New Roman"/>
          <w:color w:val="auto"/>
          <w:sz w:val="28"/>
          <w:szCs w:val="28"/>
          <w:lang w:val="pt-BR"/>
        </w:rPr>
        <w:t xml:space="preserve">trên </w:t>
      </w:r>
      <w:r w:rsidR="00E302D4">
        <w:rPr>
          <w:rFonts w:eastAsia="Times New Roman"/>
          <w:color w:val="auto"/>
          <w:sz w:val="28"/>
          <w:szCs w:val="28"/>
          <w:lang w:val="pt-BR"/>
        </w:rPr>
        <w:t>TTCK trong khi các vi phạm pháp luật về chứng khoán</w:t>
      </w:r>
      <w:r w:rsidRPr="00FD4D69">
        <w:rPr>
          <w:rFonts w:eastAsia="Times New Roman"/>
          <w:color w:val="auto"/>
          <w:sz w:val="28"/>
          <w:szCs w:val="28"/>
          <w:lang w:val="pt-BR"/>
        </w:rPr>
        <w:t xml:space="preserve"> ngày càng tinh vi</w:t>
      </w:r>
      <w:r w:rsidR="00E302D4">
        <w:rPr>
          <w:rFonts w:eastAsia="Times New Roman"/>
          <w:color w:val="auto"/>
          <w:sz w:val="28"/>
          <w:szCs w:val="28"/>
          <w:lang w:val="pt-BR"/>
        </w:rPr>
        <w:t>, có rủi ro</w:t>
      </w:r>
      <w:r w:rsidRPr="00E302D4">
        <w:rPr>
          <w:rFonts w:eastAsia="Times New Roman"/>
          <w:color w:val="auto"/>
          <w:sz w:val="28"/>
          <w:szCs w:val="28"/>
          <w:lang w:val="pt-BR"/>
        </w:rPr>
        <w:t xml:space="preserve"> </w:t>
      </w:r>
      <w:r w:rsidR="00E302D4" w:rsidRPr="00E302D4">
        <w:rPr>
          <w:rFonts w:eastAsia="Times New Roman"/>
          <w:color w:val="auto"/>
          <w:sz w:val="28"/>
          <w:szCs w:val="28"/>
          <w:lang w:val="pt-BR"/>
        </w:rPr>
        <w:t>gây thiệt hại</w:t>
      </w:r>
      <w:r w:rsidRPr="00E302D4">
        <w:rPr>
          <w:rFonts w:eastAsia="Times New Roman"/>
          <w:color w:val="auto"/>
          <w:sz w:val="28"/>
          <w:szCs w:val="28"/>
          <w:lang w:val="pt-BR"/>
        </w:rPr>
        <w:t xml:space="preserve"> không những cho nhà đầu tư, các thành viên tham gia thị trường mà có thể tác động</w:t>
      </w:r>
      <w:r w:rsidR="00E302D4" w:rsidRPr="00E302D4">
        <w:rPr>
          <w:rFonts w:eastAsia="Times New Roman"/>
          <w:color w:val="auto"/>
          <w:sz w:val="28"/>
          <w:szCs w:val="28"/>
          <w:lang w:val="pt-BR"/>
        </w:rPr>
        <w:t>, ảnh hưởng mang tính dây chuyền</w:t>
      </w:r>
      <w:r w:rsidRPr="00E302D4">
        <w:rPr>
          <w:rFonts w:eastAsia="Times New Roman"/>
          <w:color w:val="auto"/>
          <w:sz w:val="28"/>
          <w:szCs w:val="28"/>
          <w:lang w:val="pt-BR"/>
        </w:rPr>
        <w:t xml:space="preserve"> đến </w:t>
      </w:r>
      <w:r w:rsidR="00E302D4" w:rsidRPr="00E302D4">
        <w:rPr>
          <w:rFonts w:eastAsia="Times New Roman"/>
          <w:color w:val="auto"/>
          <w:sz w:val="28"/>
          <w:szCs w:val="28"/>
          <w:lang w:val="pt-BR"/>
        </w:rPr>
        <w:t xml:space="preserve">hoạt động </w:t>
      </w:r>
      <w:r w:rsidRPr="00E302D4">
        <w:rPr>
          <w:rFonts w:eastAsia="Times New Roman"/>
          <w:color w:val="auto"/>
          <w:sz w:val="28"/>
          <w:szCs w:val="28"/>
          <w:lang w:val="pt-BR"/>
        </w:rPr>
        <w:t xml:space="preserve">kinh tế, </w:t>
      </w:r>
      <w:r w:rsidR="00E302D4" w:rsidRPr="00E302D4">
        <w:rPr>
          <w:rFonts w:eastAsia="Times New Roman"/>
          <w:color w:val="auto"/>
          <w:sz w:val="28"/>
          <w:szCs w:val="28"/>
          <w:lang w:val="pt-BR"/>
        </w:rPr>
        <w:t xml:space="preserve">đầu tư, sản xuất kinh doanh, </w:t>
      </w:r>
      <w:r w:rsidRPr="00E302D4">
        <w:rPr>
          <w:rFonts w:eastAsia="Times New Roman"/>
          <w:color w:val="auto"/>
          <w:sz w:val="28"/>
          <w:szCs w:val="28"/>
          <w:lang w:val="pt-BR"/>
        </w:rPr>
        <w:t xml:space="preserve">nhất là các vi phạm của tổ chức niêm yết, của công ty chứng khoán và các tổ chức, cá nhân tham gia giao dịch trên thị trường. </w:t>
      </w:r>
      <w:r w:rsidR="00E302D4" w:rsidRPr="00E302D4">
        <w:rPr>
          <w:rFonts w:eastAsia="Times New Roman"/>
          <w:color w:val="auto"/>
          <w:sz w:val="28"/>
          <w:szCs w:val="28"/>
          <w:lang w:val="pt-BR"/>
        </w:rPr>
        <w:t>Vì vậy,</w:t>
      </w:r>
      <w:r w:rsidRPr="00E302D4">
        <w:rPr>
          <w:rFonts w:eastAsia="Times New Roman"/>
          <w:color w:val="auto"/>
          <w:sz w:val="28"/>
          <w:szCs w:val="28"/>
          <w:lang w:val="pt-BR"/>
        </w:rPr>
        <w:t xml:space="preserve"> </w:t>
      </w:r>
      <w:r w:rsidR="00E302D4" w:rsidRPr="00E302D4">
        <w:rPr>
          <w:color w:val="auto"/>
          <w:sz w:val="28"/>
          <w:szCs w:val="28"/>
          <w:lang w:val="sv-SE"/>
        </w:rPr>
        <w:t>Nghị định được ban hành sẽ là công cụ mang tính</w:t>
      </w:r>
      <w:r w:rsidRPr="00E302D4">
        <w:rPr>
          <w:rFonts w:eastAsia="Times New Roman"/>
          <w:color w:val="auto"/>
          <w:sz w:val="28"/>
          <w:szCs w:val="28"/>
          <w:lang w:val="pt-BR"/>
        </w:rPr>
        <w:t xml:space="preserve"> </w:t>
      </w:r>
      <w:r w:rsidR="00E302D4" w:rsidRPr="00E302D4">
        <w:rPr>
          <w:rFonts w:eastAsia="Times New Roman"/>
          <w:color w:val="auto"/>
          <w:sz w:val="28"/>
          <w:szCs w:val="28"/>
          <w:lang w:val="pt-BR"/>
        </w:rPr>
        <w:t xml:space="preserve">cưỡng chế </w:t>
      </w:r>
      <w:r w:rsidRPr="00E302D4">
        <w:rPr>
          <w:rFonts w:eastAsia="Times New Roman"/>
          <w:color w:val="auto"/>
          <w:sz w:val="28"/>
          <w:szCs w:val="28"/>
          <w:lang w:val="pt-BR"/>
        </w:rPr>
        <w:t xml:space="preserve">hiệu </w:t>
      </w:r>
      <w:r w:rsidR="00E302D4" w:rsidRPr="00E302D4">
        <w:rPr>
          <w:rFonts w:eastAsia="Times New Roman"/>
          <w:color w:val="auto"/>
          <w:sz w:val="28"/>
          <w:szCs w:val="28"/>
          <w:lang w:val="pt-BR"/>
        </w:rPr>
        <w:t>quả</w:t>
      </w:r>
      <w:r w:rsidRPr="00E302D4">
        <w:rPr>
          <w:rFonts w:eastAsia="Times New Roman"/>
          <w:color w:val="auto"/>
          <w:sz w:val="28"/>
          <w:szCs w:val="28"/>
          <w:lang w:val="pt-BR"/>
        </w:rPr>
        <w:t xml:space="preserve"> để </w:t>
      </w:r>
      <w:r w:rsidR="00E302D4" w:rsidRPr="00E302D4">
        <w:rPr>
          <w:rFonts w:eastAsia="Times New Roman"/>
          <w:color w:val="auto"/>
          <w:sz w:val="28"/>
          <w:szCs w:val="28"/>
          <w:lang w:val="pt-BR"/>
        </w:rPr>
        <w:t>đảm bảo</w:t>
      </w:r>
      <w:r w:rsidRPr="00E302D4">
        <w:rPr>
          <w:rFonts w:eastAsia="Times New Roman"/>
          <w:color w:val="auto"/>
          <w:sz w:val="28"/>
          <w:szCs w:val="28"/>
          <w:lang w:val="pt-BR"/>
        </w:rPr>
        <w:t xml:space="preserve"> </w:t>
      </w:r>
      <w:r w:rsidR="00E302D4" w:rsidRPr="00E302D4">
        <w:rPr>
          <w:rFonts w:eastAsia="Times New Roman"/>
          <w:color w:val="auto"/>
          <w:sz w:val="28"/>
          <w:szCs w:val="28"/>
          <w:lang w:val="pt-BR"/>
        </w:rPr>
        <w:t xml:space="preserve">tính công khai, minh bạch, </w:t>
      </w:r>
      <w:r w:rsidRPr="00E302D4">
        <w:rPr>
          <w:rFonts w:eastAsia="Times New Roman"/>
          <w:color w:val="auto"/>
          <w:sz w:val="28"/>
          <w:szCs w:val="28"/>
          <w:lang w:val="pt-BR"/>
        </w:rPr>
        <w:t xml:space="preserve">hoạt động ổn định của </w:t>
      </w:r>
      <w:r w:rsidR="00E302D4" w:rsidRPr="00E302D4">
        <w:rPr>
          <w:rFonts w:eastAsia="Times New Roman"/>
          <w:color w:val="auto"/>
          <w:sz w:val="28"/>
          <w:szCs w:val="28"/>
          <w:lang w:val="pt-BR"/>
        </w:rPr>
        <w:t>TTCK</w:t>
      </w:r>
      <w:r w:rsidRPr="00E302D4">
        <w:rPr>
          <w:rFonts w:eastAsia="Times New Roman"/>
          <w:color w:val="auto"/>
          <w:sz w:val="28"/>
          <w:szCs w:val="28"/>
          <w:lang w:val="pt-BR"/>
        </w:rPr>
        <w:t xml:space="preserve">, </w:t>
      </w:r>
      <w:r w:rsidR="00E302D4" w:rsidRPr="00E302D4">
        <w:rPr>
          <w:rFonts w:eastAsia="Times New Roman"/>
          <w:color w:val="auto"/>
          <w:sz w:val="28"/>
          <w:szCs w:val="28"/>
          <w:lang w:val="pt-BR"/>
        </w:rPr>
        <w:t xml:space="preserve">răn đe các vi phạm pháp luật, </w:t>
      </w:r>
      <w:r w:rsidRPr="00E302D4">
        <w:rPr>
          <w:rFonts w:eastAsia="Times New Roman"/>
          <w:color w:val="auto"/>
          <w:sz w:val="28"/>
          <w:szCs w:val="28"/>
          <w:lang w:val="pt-BR"/>
        </w:rPr>
        <w:t xml:space="preserve">ngăn ngừa tổn thất và </w:t>
      </w:r>
      <w:r w:rsidR="00E302D4" w:rsidRPr="00E302D4">
        <w:rPr>
          <w:rFonts w:eastAsia="Times New Roman"/>
          <w:color w:val="auto"/>
          <w:sz w:val="28"/>
          <w:szCs w:val="28"/>
          <w:lang w:val="pt-BR"/>
        </w:rPr>
        <w:t>giảm thiểu rủi ro, tác động tiêu cực đến thị trường tài chính, nền kinh tế</w:t>
      </w:r>
      <w:r w:rsidRPr="00E302D4">
        <w:rPr>
          <w:rFonts w:eastAsia="Times New Roman"/>
          <w:color w:val="auto"/>
          <w:sz w:val="28"/>
          <w:szCs w:val="28"/>
          <w:lang w:val="pt-BR"/>
        </w:rPr>
        <w:t>.</w:t>
      </w:r>
    </w:p>
    <w:p w:rsidR="005306D8" w:rsidRPr="00A4738F" w:rsidRDefault="005306D8" w:rsidP="00E67C8A">
      <w:pPr>
        <w:spacing w:before="120" w:after="120"/>
        <w:ind w:firstLine="720"/>
        <w:rPr>
          <w:rFonts w:eastAsia="Times New Roman"/>
          <w:color w:val="auto"/>
          <w:sz w:val="28"/>
          <w:szCs w:val="28"/>
          <w:lang w:val="pt-BR"/>
        </w:rPr>
      </w:pPr>
      <w:r w:rsidRPr="00A4738F">
        <w:rPr>
          <w:rFonts w:eastAsia="Times New Roman"/>
          <w:color w:val="auto"/>
          <w:sz w:val="28"/>
          <w:szCs w:val="28"/>
          <w:lang w:val="pt-BR"/>
        </w:rPr>
        <w:t xml:space="preserve">- </w:t>
      </w:r>
      <w:r w:rsidRPr="00A4738F">
        <w:rPr>
          <w:color w:val="auto"/>
          <w:sz w:val="28"/>
          <w:szCs w:val="28"/>
          <w:lang w:val="pt-BR"/>
        </w:rPr>
        <w:t xml:space="preserve">Nghị định được ban hành sẽ </w:t>
      </w:r>
      <w:r w:rsidRPr="00A4738F">
        <w:rPr>
          <w:rFonts w:eastAsia="Times New Roman"/>
          <w:color w:val="auto"/>
          <w:sz w:val="28"/>
          <w:szCs w:val="28"/>
          <w:lang w:val="pt-BR"/>
        </w:rPr>
        <w:t>tác động đến các tổ chức chào bán</w:t>
      </w:r>
      <w:r w:rsidR="00A4738F">
        <w:rPr>
          <w:rFonts w:eastAsia="Times New Roman"/>
          <w:color w:val="auto"/>
          <w:sz w:val="28"/>
          <w:szCs w:val="28"/>
          <w:lang w:val="pt-BR"/>
        </w:rPr>
        <w:t>, phát hành</w:t>
      </w:r>
      <w:r w:rsidRPr="00A4738F">
        <w:rPr>
          <w:rFonts w:eastAsia="Times New Roman"/>
          <w:color w:val="auto"/>
          <w:sz w:val="28"/>
          <w:szCs w:val="28"/>
          <w:lang w:val="pt-BR"/>
        </w:rPr>
        <w:t xml:space="preserve"> chứng khoán</w:t>
      </w:r>
      <w:r w:rsidR="00A4738F">
        <w:rPr>
          <w:rFonts w:eastAsia="Times New Roman"/>
          <w:color w:val="auto"/>
          <w:sz w:val="28"/>
          <w:szCs w:val="28"/>
          <w:lang w:val="pt-BR"/>
        </w:rPr>
        <w:t xml:space="preserve"> trên TTCK</w:t>
      </w:r>
      <w:r w:rsidRPr="00A4738F">
        <w:rPr>
          <w:rFonts w:eastAsia="Times New Roman"/>
          <w:color w:val="auto"/>
          <w:sz w:val="28"/>
          <w:szCs w:val="28"/>
          <w:lang w:val="pt-BR"/>
        </w:rPr>
        <w:t xml:space="preserve">, </w:t>
      </w:r>
      <w:r w:rsidR="00A4738F">
        <w:rPr>
          <w:rFonts w:eastAsia="Times New Roman"/>
          <w:color w:val="auto"/>
          <w:sz w:val="28"/>
          <w:szCs w:val="28"/>
          <w:lang w:val="pt-BR"/>
        </w:rPr>
        <w:t xml:space="preserve">các </w:t>
      </w:r>
      <w:r w:rsidRPr="00A4738F">
        <w:rPr>
          <w:rFonts w:eastAsia="Times New Roman"/>
          <w:color w:val="auto"/>
          <w:sz w:val="28"/>
          <w:szCs w:val="28"/>
          <w:lang w:val="pt-BR"/>
        </w:rPr>
        <w:t>công ty đại chúng và tổ chức niêm yết chứng khoán</w:t>
      </w:r>
      <w:r w:rsidR="00A4738F">
        <w:rPr>
          <w:rFonts w:eastAsia="Times New Roman"/>
          <w:color w:val="auto"/>
          <w:sz w:val="28"/>
          <w:szCs w:val="28"/>
          <w:lang w:val="pt-BR"/>
        </w:rPr>
        <w:t>, góp phần</w:t>
      </w:r>
      <w:r w:rsidRPr="00A4738F">
        <w:rPr>
          <w:rFonts w:eastAsia="Times New Roman"/>
          <w:color w:val="auto"/>
          <w:sz w:val="28"/>
          <w:szCs w:val="28"/>
          <w:lang w:val="pt-BR"/>
        </w:rPr>
        <w:t xml:space="preserve"> hạn chế vi phạm </w:t>
      </w:r>
      <w:r w:rsidR="00A4738F">
        <w:rPr>
          <w:rFonts w:eastAsia="Times New Roman"/>
          <w:color w:val="auto"/>
          <w:sz w:val="28"/>
          <w:szCs w:val="28"/>
          <w:lang w:val="pt-BR"/>
        </w:rPr>
        <w:t>về hoạt động</w:t>
      </w:r>
      <w:r w:rsidRPr="00A4738F">
        <w:rPr>
          <w:rFonts w:eastAsia="Times New Roman"/>
          <w:color w:val="auto"/>
          <w:sz w:val="28"/>
          <w:szCs w:val="28"/>
          <w:lang w:val="pt-BR"/>
        </w:rPr>
        <w:t xml:space="preserve"> chào bán</w:t>
      </w:r>
      <w:r w:rsidR="00A4738F">
        <w:rPr>
          <w:rFonts w:eastAsia="Times New Roman"/>
          <w:color w:val="auto"/>
          <w:sz w:val="28"/>
          <w:szCs w:val="28"/>
          <w:lang w:val="pt-BR"/>
        </w:rPr>
        <w:t>, phát hành</w:t>
      </w:r>
      <w:r w:rsidRPr="00A4738F">
        <w:rPr>
          <w:rFonts w:eastAsia="Times New Roman"/>
          <w:color w:val="auto"/>
          <w:sz w:val="28"/>
          <w:szCs w:val="28"/>
          <w:lang w:val="pt-BR"/>
        </w:rPr>
        <w:t xml:space="preserve"> chứng khoán ra công chúng</w:t>
      </w:r>
      <w:r w:rsidR="00A4738F">
        <w:rPr>
          <w:rFonts w:eastAsia="Times New Roman"/>
          <w:color w:val="auto"/>
          <w:sz w:val="28"/>
          <w:szCs w:val="28"/>
          <w:lang w:val="pt-BR"/>
        </w:rPr>
        <w:t>, hoạt động chào bán, phát hành</w:t>
      </w:r>
      <w:r w:rsidRPr="00A4738F">
        <w:rPr>
          <w:rFonts w:eastAsia="Times New Roman"/>
          <w:color w:val="auto"/>
          <w:sz w:val="28"/>
          <w:szCs w:val="28"/>
          <w:lang w:val="pt-BR"/>
        </w:rPr>
        <w:t xml:space="preserve"> </w:t>
      </w:r>
      <w:r w:rsidR="00A4738F">
        <w:rPr>
          <w:rFonts w:eastAsia="Times New Roman"/>
          <w:color w:val="auto"/>
          <w:sz w:val="28"/>
          <w:szCs w:val="28"/>
          <w:lang w:val="pt-BR"/>
        </w:rPr>
        <w:t>riêng lẻ;</w:t>
      </w:r>
      <w:r w:rsidRPr="00A4738F">
        <w:rPr>
          <w:rFonts w:eastAsia="Times New Roman"/>
          <w:color w:val="auto"/>
          <w:sz w:val="28"/>
          <w:szCs w:val="28"/>
          <w:lang w:val="pt-BR"/>
        </w:rPr>
        <w:t xml:space="preserve"> vi phạm </w:t>
      </w:r>
      <w:r w:rsidR="00A4738F">
        <w:rPr>
          <w:rFonts w:eastAsia="Times New Roman"/>
          <w:color w:val="auto"/>
          <w:sz w:val="28"/>
          <w:szCs w:val="28"/>
          <w:lang w:val="pt-BR"/>
        </w:rPr>
        <w:t xml:space="preserve">nghĩa vụ </w:t>
      </w:r>
      <w:r w:rsidRPr="00A4738F">
        <w:rPr>
          <w:rFonts w:eastAsia="Times New Roman"/>
          <w:color w:val="auto"/>
          <w:sz w:val="28"/>
          <w:szCs w:val="28"/>
          <w:lang w:val="pt-BR"/>
        </w:rPr>
        <w:t xml:space="preserve">của các công ty đại chúng, công ty niêm yết, đặc biệt trong quản trị công ty </w:t>
      </w:r>
      <w:r w:rsidR="00A4738F">
        <w:rPr>
          <w:rFonts w:eastAsia="Times New Roman"/>
          <w:color w:val="auto"/>
          <w:sz w:val="28"/>
          <w:szCs w:val="28"/>
          <w:lang w:val="pt-BR"/>
        </w:rPr>
        <w:t xml:space="preserve">đại </w:t>
      </w:r>
      <w:r w:rsidR="00A4738F">
        <w:rPr>
          <w:rFonts w:eastAsia="Times New Roman"/>
          <w:color w:val="auto"/>
          <w:sz w:val="28"/>
          <w:szCs w:val="28"/>
          <w:lang w:val="pt-BR"/>
        </w:rPr>
        <w:lastRenderedPageBreak/>
        <w:t xml:space="preserve">chúng, bảo đảm quyền của cổ đông, nhà đầu tư, chế độ báo cáo, </w:t>
      </w:r>
      <w:r w:rsidRPr="00A4738F">
        <w:rPr>
          <w:rFonts w:eastAsia="Times New Roman"/>
          <w:color w:val="auto"/>
          <w:sz w:val="28"/>
          <w:szCs w:val="28"/>
          <w:lang w:val="pt-BR"/>
        </w:rPr>
        <w:t>công bố thông tin theo quy định.</w:t>
      </w:r>
    </w:p>
    <w:p w:rsidR="005306D8" w:rsidRPr="006D1677" w:rsidRDefault="005306D8" w:rsidP="00E67C8A">
      <w:pPr>
        <w:spacing w:before="120" w:after="120"/>
        <w:ind w:firstLine="720"/>
        <w:rPr>
          <w:rFonts w:eastAsia="Times New Roman"/>
          <w:color w:val="auto"/>
          <w:sz w:val="28"/>
          <w:szCs w:val="28"/>
          <w:lang w:val="pt-BR"/>
        </w:rPr>
      </w:pPr>
      <w:r w:rsidRPr="0049141F">
        <w:rPr>
          <w:rFonts w:eastAsia="Times New Roman"/>
          <w:color w:val="auto"/>
          <w:sz w:val="28"/>
          <w:szCs w:val="28"/>
          <w:lang w:val="pt-BR"/>
        </w:rPr>
        <w:t xml:space="preserve">- </w:t>
      </w:r>
      <w:r w:rsidRPr="0049141F">
        <w:rPr>
          <w:color w:val="auto"/>
          <w:sz w:val="28"/>
          <w:szCs w:val="28"/>
          <w:lang w:val="pt-BR"/>
        </w:rPr>
        <w:t xml:space="preserve">Nghị định được ban hành sẽ </w:t>
      </w:r>
      <w:r w:rsidRPr="0049141F">
        <w:rPr>
          <w:rFonts w:eastAsia="Times New Roman"/>
          <w:color w:val="auto"/>
          <w:sz w:val="28"/>
          <w:szCs w:val="28"/>
          <w:lang w:val="pt-BR"/>
        </w:rPr>
        <w:t xml:space="preserve">tác động đến các </w:t>
      </w:r>
      <w:r w:rsidRPr="0049141F">
        <w:rPr>
          <w:bCs/>
          <w:color w:val="auto"/>
          <w:sz w:val="28"/>
          <w:szCs w:val="28"/>
          <w:lang w:val="pt-BR"/>
        </w:rPr>
        <w:t xml:space="preserve">hoạt động kinh doanh, dịch vụ chứng khoán của các tổ chức kinh doanh dịch vụ chứng khoán </w:t>
      </w:r>
      <w:r w:rsidRPr="0049141F">
        <w:rPr>
          <w:rFonts w:eastAsia="Times New Roman"/>
          <w:color w:val="auto"/>
          <w:sz w:val="28"/>
          <w:szCs w:val="28"/>
          <w:lang w:val="pt-BR"/>
        </w:rPr>
        <w:t xml:space="preserve">như các công ty chứng khoán, công ty quản lý quỹ, ngân hàng giám sát, ngân hàng lưu </w:t>
      </w:r>
      <w:r w:rsidR="0049141F">
        <w:rPr>
          <w:rFonts w:eastAsia="Times New Roman"/>
          <w:color w:val="auto"/>
          <w:sz w:val="28"/>
          <w:szCs w:val="28"/>
          <w:lang w:val="pt-BR"/>
        </w:rPr>
        <w:t>k</w:t>
      </w:r>
      <w:r w:rsidRPr="0049141F">
        <w:rPr>
          <w:rFonts w:eastAsia="Times New Roman"/>
          <w:color w:val="auto"/>
          <w:sz w:val="28"/>
          <w:szCs w:val="28"/>
          <w:lang w:val="pt-BR"/>
        </w:rPr>
        <w:t xml:space="preserve">ý... </w:t>
      </w:r>
      <w:r w:rsidR="0049141F">
        <w:rPr>
          <w:rFonts w:eastAsia="Times New Roman"/>
          <w:color w:val="auto"/>
          <w:sz w:val="28"/>
          <w:szCs w:val="28"/>
          <w:lang w:val="pt-BR"/>
        </w:rPr>
        <w:t xml:space="preserve">tăng cường tính </w:t>
      </w:r>
      <w:r w:rsidRPr="0049141F">
        <w:rPr>
          <w:rFonts w:eastAsia="Times New Roman"/>
          <w:color w:val="auto"/>
          <w:sz w:val="28"/>
          <w:szCs w:val="28"/>
          <w:lang w:val="pt-BR"/>
        </w:rPr>
        <w:t>công khai, minh bạch</w:t>
      </w:r>
      <w:r w:rsidR="0049141F">
        <w:rPr>
          <w:rFonts w:eastAsia="Times New Roman"/>
          <w:color w:val="auto"/>
          <w:sz w:val="28"/>
          <w:szCs w:val="28"/>
          <w:lang w:val="pt-BR"/>
        </w:rPr>
        <w:t>, tính tuân thủ pháp luật trong hoạt</w:t>
      </w:r>
      <w:r w:rsidR="0049141F" w:rsidRPr="006D1677">
        <w:rPr>
          <w:rFonts w:eastAsia="Times New Roman"/>
          <w:color w:val="auto"/>
          <w:sz w:val="28"/>
          <w:szCs w:val="28"/>
          <w:lang w:val="pt-BR"/>
        </w:rPr>
        <w:t xml:space="preserve"> động và  cung cấp </w:t>
      </w:r>
      <w:r w:rsidRPr="006D1677">
        <w:rPr>
          <w:rFonts w:eastAsia="Times New Roman"/>
          <w:color w:val="auto"/>
          <w:sz w:val="28"/>
          <w:szCs w:val="28"/>
          <w:lang w:val="pt-BR"/>
        </w:rPr>
        <w:t>dịch vụ cho khách hàng</w:t>
      </w:r>
      <w:r w:rsidR="0049141F" w:rsidRPr="006D1677">
        <w:rPr>
          <w:rFonts w:eastAsia="Times New Roman"/>
          <w:color w:val="auto"/>
          <w:sz w:val="28"/>
          <w:szCs w:val="28"/>
          <w:lang w:val="pt-BR"/>
        </w:rPr>
        <w:t>; bảo đảm</w:t>
      </w:r>
      <w:r w:rsidRPr="006D1677">
        <w:rPr>
          <w:rFonts w:eastAsia="Times New Roman"/>
          <w:color w:val="auto"/>
          <w:sz w:val="28"/>
          <w:szCs w:val="28"/>
          <w:lang w:val="pt-BR"/>
        </w:rPr>
        <w:t xml:space="preserve"> các hành vi vi phạm của các tổ chức này đều bị xử lý nghiêm</w:t>
      </w:r>
      <w:r w:rsidR="0049141F" w:rsidRPr="006D1677">
        <w:rPr>
          <w:rFonts w:eastAsia="Times New Roman"/>
          <w:color w:val="auto"/>
          <w:sz w:val="28"/>
          <w:szCs w:val="28"/>
          <w:lang w:val="pt-BR"/>
        </w:rPr>
        <w:t xml:space="preserve"> minh</w:t>
      </w:r>
      <w:r w:rsidRPr="006D1677">
        <w:rPr>
          <w:rFonts w:eastAsia="Times New Roman"/>
          <w:color w:val="auto"/>
          <w:sz w:val="28"/>
          <w:szCs w:val="28"/>
          <w:lang w:val="pt-BR"/>
        </w:rPr>
        <w:t>.</w:t>
      </w:r>
    </w:p>
    <w:p w:rsidR="005306D8" w:rsidRDefault="005306D8" w:rsidP="00E67C8A">
      <w:pPr>
        <w:spacing w:before="120" w:after="120"/>
        <w:ind w:firstLine="720"/>
        <w:rPr>
          <w:color w:val="auto"/>
          <w:sz w:val="28"/>
          <w:szCs w:val="28"/>
          <w:lang w:val="pt-BR"/>
        </w:rPr>
      </w:pPr>
      <w:r w:rsidRPr="006D1677">
        <w:rPr>
          <w:rFonts w:eastAsia="Times New Roman"/>
          <w:color w:val="auto"/>
          <w:sz w:val="28"/>
          <w:szCs w:val="28"/>
          <w:lang w:val="pt-BR"/>
        </w:rPr>
        <w:t xml:space="preserve">- </w:t>
      </w:r>
      <w:r w:rsidRPr="006D1677">
        <w:rPr>
          <w:color w:val="auto"/>
          <w:sz w:val="28"/>
          <w:szCs w:val="28"/>
          <w:lang w:val="pt-BR"/>
        </w:rPr>
        <w:t xml:space="preserve">Nghị định </w:t>
      </w:r>
      <w:r w:rsidR="006D1677" w:rsidRPr="006D1677">
        <w:rPr>
          <w:color w:val="auto"/>
          <w:sz w:val="28"/>
          <w:szCs w:val="28"/>
          <w:lang w:val="pt-BR"/>
        </w:rPr>
        <w:t xml:space="preserve">sẽ có </w:t>
      </w:r>
      <w:r w:rsidRPr="006D1677">
        <w:rPr>
          <w:color w:val="auto"/>
          <w:sz w:val="28"/>
          <w:szCs w:val="28"/>
          <w:lang w:val="pt-BR"/>
        </w:rPr>
        <w:t xml:space="preserve">có </w:t>
      </w:r>
      <w:r w:rsidRPr="006D1677">
        <w:rPr>
          <w:rFonts w:eastAsia="Times New Roman"/>
          <w:color w:val="auto"/>
          <w:sz w:val="28"/>
          <w:szCs w:val="28"/>
          <w:lang w:val="pt-BR"/>
        </w:rPr>
        <w:t>tác động đến hoạt động giao dịch chứng khoán</w:t>
      </w:r>
      <w:r w:rsidR="006D1677" w:rsidRPr="006D1677">
        <w:rPr>
          <w:rFonts w:eastAsia="Times New Roman"/>
          <w:color w:val="auto"/>
          <w:sz w:val="28"/>
          <w:szCs w:val="28"/>
          <w:lang w:val="pt-BR"/>
        </w:rPr>
        <w:t>, niềm tin, tâm lý</w:t>
      </w:r>
      <w:r w:rsidRPr="006D1677">
        <w:rPr>
          <w:rFonts w:eastAsia="Times New Roman"/>
          <w:color w:val="auto"/>
          <w:sz w:val="28"/>
          <w:szCs w:val="28"/>
          <w:lang w:val="pt-BR"/>
        </w:rPr>
        <w:t xml:space="preserve"> của các </w:t>
      </w:r>
      <w:r w:rsidR="006D1677" w:rsidRPr="006D1677">
        <w:rPr>
          <w:rFonts w:eastAsia="Times New Roman"/>
          <w:color w:val="auto"/>
          <w:sz w:val="28"/>
          <w:szCs w:val="28"/>
          <w:lang w:val="pt-BR"/>
        </w:rPr>
        <w:t>nhà đầu tư</w:t>
      </w:r>
      <w:r w:rsidRPr="006D1677">
        <w:rPr>
          <w:rFonts w:eastAsia="Times New Roman"/>
          <w:color w:val="auto"/>
          <w:sz w:val="28"/>
          <w:szCs w:val="28"/>
          <w:lang w:val="pt-BR"/>
        </w:rPr>
        <w:t xml:space="preserve"> tham gia thị trường. Với hình thức xử phạt </w:t>
      </w:r>
      <w:r w:rsidR="006D1677" w:rsidRPr="006D1677">
        <w:rPr>
          <w:rFonts w:eastAsia="Times New Roman"/>
          <w:color w:val="auto"/>
          <w:sz w:val="28"/>
          <w:szCs w:val="28"/>
          <w:lang w:val="pt-BR"/>
        </w:rPr>
        <w:t xml:space="preserve">được sửa đổi theo tính chất, mức độ vi phạm, </w:t>
      </w:r>
      <w:r w:rsidRPr="006D1677">
        <w:rPr>
          <w:color w:val="auto"/>
          <w:sz w:val="28"/>
          <w:szCs w:val="28"/>
          <w:lang w:val="pt-BR"/>
        </w:rPr>
        <w:t xml:space="preserve">Nghị định sẽ </w:t>
      </w:r>
      <w:r w:rsidR="006D1677" w:rsidRPr="006D1677">
        <w:rPr>
          <w:color w:val="auto"/>
          <w:sz w:val="28"/>
          <w:szCs w:val="28"/>
          <w:lang w:val="pt-BR"/>
        </w:rPr>
        <w:t>đảm bảo mức xử phạt tương ứng với mức độ vi phạm, thời gian thực hiện vi phạm, khối lượng giao dịch của hành vi vi phạm của đối tượng là cổ đông lớn, cổ đông nội bộ và người có liên quan, góp phần tạo niềm tin của nhà đầu tư đối với tính nghiêm minh, công bằng trong thực thi và tuân thủ pháp luật, ổn định tâm lý của thị trường.</w:t>
      </w:r>
    </w:p>
    <w:p w:rsidR="005306D8" w:rsidRPr="006D1677" w:rsidRDefault="005306D8" w:rsidP="00E67C8A">
      <w:pPr>
        <w:spacing w:before="120" w:after="120"/>
        <w:ind w:firstLine="720"/>
        <w:rPr>
          <w:color w:val="auto"/>
          <w:sz w:val="28"/>
          <w:szCs w:val="28"/>
          <w:lang w:val="pt-BR"/>
        </w:rPr>
      </w:pPr>
      <w:r w:rsidRPr="006D1677">
        <w:rPr>
          <w:color w:val="auto"/>
          <w:sz w:val="28"/>
          <w:szCs w:val="28"/>
          <w:lang w:val="pt-BR"/>
        </w:rPr>
        <w:t xml:space="preserve">- Việc ban hành Nghị định đảm bảo tính đồng bộ, thống nhất của hệ thống pháp luật về </w:t>
      </w:r>
      <w:r w:rsidR="0095409E">
        <w:rPr>
          <w:color w:val="auto"/>
          <w:sz w:val="28"/>
          <w:szCs w:val="28"/>
          <w:lang w:val="pt-BR"/>
        </w:rPr>
        <w:t xml:space="preserve">CK </w:t>
      </w:r>
      <w:r w:rsidRPr="006D1677">
        <w:rPr>
          <w:color w:val="auto"/>
          <w:sz w:val="28"/>
          <w:szCs w:val="28"/>
          <w:lang w:val="pt-BR"/>
        </w:rPr>
        <w:t xml:space="preserve">và TTCK, đảm bảo tính khả thi, tính hiệu lực của </w:t>
      </w:r>
      <w:r w:rsidR="006D1677">
        <w:rPr>
          <w:color w:val="auto"/>
          <w:sz w:val="28"/>
          <w:szCs w:val="28"/>
          <w:lang w:val="pt-BR"/>
        </w:rPr>
        <w:t xml:space="preserve">chính sách, </w:t>
      </w:r>
      <w:r w:rsidRPr="006D1677">
        <w:rPr>
          <w:color w:val="auto"/>
          <w:sz w:val="28"/>
          <w:szCs w:val="28"/>
          <w:lang w:val="pt-BR"/>
        </w:rPr>
        <w:t xml:space="preserve">pháp luật về </w:t>
      </w:r>
      <w:r w:rsidR="0095409E">
        <w:rPr>
          <w:color w:val="auto"/>
          <w:sz w:val="28"/>
          <w:szCs w:val="28"/>
          <w:lang w:val="pt-BR"/>
        </w:rPr>
        <w:t>CK</w:t>
      </w:r>
      <w:r w:rsidRPr="006D1677">
        <w:rPr>
          <w:color w:val="auto"/>
          <w:sz w:val="28"/>
          <w:szCs w:val="28"/>
          <w:lang w:val="pt-BR"/>
        </w:rPr>
        <w:t xml:space="preserve"> và TTCK,</w:t>
      </w:r>
      <w:r w:rsidR="006D1677">
        <w:rPr>
          <w:color w:val="auto"/>
          <w:sz w:val="28"/>
          <w:szCs w:val="28"/>
          <w:lang w:val="pt-BR"/>
        </w:rPr>
        <w:t xml:space="preserve"> về cổ phần hóa và cải cách hoạt động doanh nghiệp nhà nước,</w:t>
      </w:r>
      <w:r w:rsidRPr="006D1677">
        <w:rPr>
          <w:color w:val="auto"/>
          <w:sz w:val="28"/>
          <w:szCs w:val="28"/>
          <w:lang w:val="pt-BR"/>
        </w:rPr>
        <w:t xml:space="preserve"> </w:t>
      </w:r>
      <w:r w:rsidR="006D1677">
        <w:rPr>
          <w:color w:val="auto"/>
          <w:sz w:val="28"/>
          <w:szCs w:val="28"/>
          <w:lang w:val="pt-BR"/>
        </w:rPr>
        <w:t xml:space="preserve">đảm bảo hiệu lực, hiệu quả quản lý nhà nước đối với TTCK, </w:t>
      </w:r>
      <w:r w:rsidRPr="006D1677">
        <w:rPr>
          <w:color w:val="auto"/>
          <w:sz w:val="28"/>
          <w:szCs w:val="28"/>
          <w:lang w:val="pt-BR"/>
        </w:rPr>
        <w:t>tạo môi trường pháp lý thuận lợi cho sự phát triển của nền kinh tế</w:t>
      </w:r>
      <w:r w:rsidR="006D1677">
        <w:rPr>
          <w:color w:val="auto"/>
          <w:sz w:val="28"/>
          <w:szCs w:val="28"/>
          <w:lang w:val="pt-BR"/>
        </w:rPr>
        <w:t>, thị trường tài chính, TTCK</w:t>
      </w:r>
      <w:r w:rsidR="007057DC">
        <w:rPr>
          <w:color w:val="auto"/>
          <w:sz w:val="28"/>
          <w:szCs w:val="28"/>
          <w:lang w:val="pt-BR"/>
        </w:rPr>
        <w:t>, tạo uy tín và niềm tin của cộng đồng quốc tế đối với Việt Nam trong quá trình hội nhập kinh tế quốc tế, niềm tin của nhà đầu tư, doanh nghiệp trong và ngoài nước đối với chủ trương, đường lối, chính sách, pháp luật của Nhà nước</w:t>
      </w:r>
      <w:r w:rsidRPr="006D1677">
        <w:rPr>
          <w:color w:val="auto"/>
          <w:sz w:val="28"/>
          <w:szCs w:val="28"/>
          <w:lang w:val="pt-BR"/>
        </w:rPr>
        <w:t>.</w:t>
      </w:r>
    </w:p>
    <w:p w:rsidR="005306D8" w:rsidRPr="00A61C44" w:rsidRDefault="00270A35" w:rsidP="00E67C8A">
      <w:pPr>
        <w:spacing w:before="120" w:after="120"/>
        <w:rPr>
          <w:b/>
          <w:color w:val="auto"/>
          <w:sz w:val="28"/>
          <w:szCs w:val="28"/>
          <w:lang w:val="pt-BR"/>
        </w:rPr>
      </w:pPr>
      <w:r>
        <w:rPr>
          <w:b/>
          <w:color w:val="auto"/>
          <w:sz w:val="28"/>
          <w:szCs w:val="28"/>
          <w:lang w:val="pt-BR"/>
        </w:rPr>
        <w:t>6</w:t>
      </w:r>
      <w:r w:rsidR="005306D8" w:rsidRPr="00A61C44">
        <w:rPr>
          <w:b/>
          <w:color w:val="auto"/>
          <w:sz w:val="28"/>
          <w:szCs w:val="28"/>
          <w:lang w:val="pt-BR"/>
        </w:rPr>
        <w:t>. Tác động đến khả năng tuân thủ của các cơ quan, tổ chức, cá nhân</w:t>
      </w:r>
    </w:p>
    <w:p w:rsidR="00EF3173" w:rsidRDefault="005306D8" w:rsidP="00EF3173">
      <w:pPr>
        <w:spacing w:before="120"/>
        <w:rPr>
          <w:color w:val="auto"/>
          <w:sz w:val="28"/>
          <w:szCs w:val="28"/>
          <w:lang w:val="pt-BR"/>
        </w:rPr>
      </w:pPr>
      <w:r w:rsidRPr="006C7E5C">
        <w:rPr>
          <w:color w:val="auto"/>
          <w:sz w:val="28"/>
          <w:szCs w:val="28"/>
          <w:lang w:val="pt-BR"/>
        </w:rPr>
        <w:tab/>
        <w:t xml:space="preserve">Với việc sửa đổi các quy định không còn phù hợp với thực tế, </w:t>
      </w:r>
      <w:r w:rsidR="007057DC">
        <w:rPr>
          <w:color w:val="auto"/>
          <w:sz w:val="28"/>
          <w:szCs w:val="28"/>
          <w:lang w:val="pt-BR"/>
        </w:rPr>
        <w:t xml:space="preserve">bổ sung quy định về hành vi và </w:t>
      </w:r>
      <w:r w:rsidRPr="006C7E5C">
        <w:rPr>
          <w:color w:val="auto"/>
          <w:sz w:val="28"/>
          <w:szCs w:val="28"/>
          <w:lang w:val="pt-BR"/>
        </w:rPr>
        <w:t>chế tài xử lý đối với các hành vi vi phạm mới phát sinh trên thị trường</w:t>
      </w:r>
      <w:r w:rsidR="007057DC">
        <w:rPr>
          <w:color w:val="auto"/>
          <w:sz w:val="28"/>
          <w:szCs w:val="28"/>
          <w:lang w:val="pt-BR"/>
        </w:rPr>
        <w:t>, hoàn thiện chế tài xử lý đối với một số hành vi vi phạm mang tính phổ biến, ảnh hưởng lớn tới hoạt động giao dịch trên thị trường</w:t>
      </w:r>
      <w:r w:rsidRPr="006C7E5C">
        <w:rPr>
          <w:color w:val="auto"/>
          <w:sz w:val="28"/>
          <w:szCs w:val="28"/>
          <w:lang w:val="pt-BR"/>
        </w:rPr>
        <w:t xml:space="preserve">, </w:t>
      </w:r>
      <w:r w:rsidR="00A56C56">
        <w:rPr>
          <w:color w:val="auto"/>
          <w:sz w:val="28"/>
          <w:szCs w:val="28"/>
          <w:lang w:val="pt-BR"/>
        </w:rPr>
        <w:t xml:space="preserve">sửa đổi bổ sung các hành vi tương ứng với các tội danh về chứng khoán, </w:t>
      </w:r>
      <w:r w:rsidRPr="006C7E5C">
        <w:rPr>
          <w:color w:val="auto"/>
          <w:sz w:val="28"/>
          <w:szCs w:val="28"/>
          <w:lang w:val="pt-BR"/>
        </w:rPr>
        <w:t>Nghị đị</w:t>
      </w:r>
      <w:r w:rsidR="007057DC">
        <w:rPr>
          <w:color w:val="auto"/>
          <w:sz w:val="28"/>
          <w:szCs w:val="28"/>
          <w:lang w:val="pt-BR"/>
        </w:rPr>
        <w:t>nh có tác dụng răn đe, ngăn ngừa các vi phạm,</w:t>
      </w:r>
      <w:r w:rsidR="00A56C56">
        <w:rPr>
          <w:color w:val="auto"/>
          <w:sz w:val="28"/>
          <w:szCs w:val="28"/>
          <w:lang w:val="pt-BR"/>
        </w:rPr>
        <w:t xml:space="preserve"> xử lý triệt để vi phạm chưa đến mức độ tội phạm</w:t>
      </w:r>
      <w:bookmarkStart w:id="0" w:name="_GoBack"/>
      <w:bookmarkEnd w:id="0"/>
      <w:r w:rsidR="00A56C56">
        <w:rPr>
          <w:color w:val="auto"/>
          <w:sz w:val="28"/>
          <w:szCs w:val="28"/>
          <w:lang w:val="pt-BR"/>
        </w:rPr>
        <w:t xml:space="preserve">, </w:t>
      </w:r>
      <w:r w:rsidR="007057DC">
        <w:rPr>
          <w:color w:val="auto"/>
          <w:sz w:val="28"/>
          <w:szCs w:val="28"/>
          <w:lang w:val="pt-BR"/>
        </w:rPr>
        <w:t xml:space="preserve"> nâng cao </w:t>
      </w:r>
      <w:r w:rsidRPr="006C7E5C">
        <w:rPr>
          <w:color w:val="auto"/>
          <w:sz w:val="28"/>
          <w:szCs w:val="28"/>
          <w:lang w:val="pt-BR"/>
        </w:rPr>
        <w:t>ý thức tự giác tuân thủ, chấp hành pháp luật</w:t>
      </w:r>
      <w:r w:rsidR="007057DC">
        <w:rPr>
          <w:color w:val="auto"/>
          <w:sz w:val="28"/>
          <w:szCs w:val="28"/>
          <w:lang w:val="pt-BR"/>
        </w:rPr>
        <w:t xml:space="preserve"> của các tổ chức, cá nhân tham gia trong mọi hoạt động của TTCK</w:t>
      </w:r>
      <w:r w:rsidRPr="006C7E5C">
        <w:rPr>
          <w:color w:val="auto"/>
          <w:sz w:val="28"/>
          <w:szCs w:val="28"/>
          <w:lang w:val="pt-BR"/>
        </w:rPr>
        <w:t>.</w:t>
      </w:r>
      <w:r w:rsidR="007057DC">
        <w:rPr>
          <w:color w:val="auto"/>
          <w:sz w:val="28"/>
          <w:szCs w:val="28"/>
          <w:lang w:val="pt-BR"/>
        </w:rPr>
        <w:t>/.</w:t>
      </w:r>
    </w:p>
    <w:p w:rsidR="00AC2872" w:rsidRDefault="00AC2872" w:rsidP="00EF3173">
      <w:pPr>
        <w:spacing w:before="120"/>
        <w:rPr>
          <w:color w:val="auto"/>
          <w:sz w:val="28"/>
          <w:szCs w:val="28"/>
          <w:lang w:val="pt-BR"/>
        </w:rPr>
      </w:pPr>
    </w:p>
    <w:p w:rsidR="00EF3173" w:rsidRPr="00EF3173" w:rsidRDefault="00AC2872" w:rsidP="00EF3173">
      <w:pPr>
        <w:spacing w:before="120"/>
        <w:rPr>
          <w:color w:val="auto"/>
          <w:sz w:val="28"/>
          <w:szCs w:val="28"/>
          <w:lang w:val="pt-BR"/>
        </w:rPr>
      </w:pPr>
      <w:r>
        <w:rPr>
          <w:color w:val="auto"/>
          <w:sz w:val="28"/>
          <w:szCs w:val="28"/>
          <w:lang w:val="pt-BR"/>
        </w:rPr>
        <w:t xml:space="preserve">                                                                                         (Bộ Tài chính)</w:t>
      </w:r>
    </w:p>
    <w:tbl>
      <w:tblPr>
        <w:tblW w:w="4477" w:type="dxa"/>
        <w:tblCellSpacing w:w="0" w:type="dxa"/>
        <w:tblCellMar>
          <w:left w:w="0" w:type="dxa"/>
          <w:right w:w="0" w:type="dxa"/>
        </w:tblCellMar>
        <w:tblLook w:val="04A0"/>
      </w:tblPr>
      <w:tblGrid>
        <w:gridCol w:w="4477"/>
      </w:tblGrid>
      <w:tr w:rsidR="00AC2872" w:rsidRPr="00077456" w:rsidTr="00AC2872">
        <w:trPr>
          <w:trHeight w:val="2790"/>
          <w:tblCellSpacing w:w="0" w:type="dxa"/>
        </w:trPr>
        <w:tc>
          <w:tcPr>
            <w:tcW w:w="4477" w:type="dxa"/>
            <w:tcMar>
              <w:top w:w="0" w:type="dxa"/>
              <w:left w:w="108" w:type="dxa"/>
              <w:bottom w:w="0" w:type="dxa"/>
              <w:right w:w="108" w:type="dxa"/>
            </w:tcMar>
            <w:hideMark/>
          </w:tcPr>
          <w:p w:rsidR="00AC2872" w:rsidRPr="00EF3173" w:rsidRDefault="00AC2872" w:rsidP="00EF3173">
            <w:pPr>
              <w:spacing w:before="100" w:beforeAutospacing="1"/>
              <w:jc w:val="left"/>
              <w:rPr>
                <w:rFonts w:eastAsia="Times New Roman"/>
                <w:noProof w:val="0"/>
                <w:color w:val="auto"/>
                <w:lang w:val="vi-VN" w:eastAsia="vi-VN"/>
              </w:rPr>
            </w:pPr>
          </w:p>
        </w:tc>
      </w:tr>
      <w:tr w:rsidR="00AC2872" w:rsidRPr="00077456" w:rsidTr="00AC2872">
        <w:trPr>
          <w:trHeight w:val="2790"/>
          <w:tblCellSpacing w:w="0" w:type="dxa"/>
        </w:trPr>
        <w:tc>
          <w:tcPr>
            <w:tcW w:w="4477" w:type="dxa"/>
            <w:tcMar>
              <w:top w:w="0" w:type="dxa"/>
              <w:left w:w="108" w:type="dxa"/>
              <w:bottom w:w="0" w:type="dxa"/>
              <w:right w:w="108" w:type="dxa"/>
            </w:tcMar>
          </w:tcPr>
          <w:p w:rsidR="00AC2872" w:rsidRPr="00EF3173" w:rsidRDefault="00AC2872" w:rsidP="00EF3173">
            <w:pPr>
              <w:spacing w:before="100" w:beforeAutospacing="1"/>
              <w:jc w:val="left"/>
              <w:rPr>
                <w:rFonts w:eastAsia="Times New Roman"/>
                <w:noProof w:val="0"/>
                <w:color w:val="auto"/>
                <w:lang w:val="vi-VN" w:eastAsia="vi-VN"/>
              </w:rPr>
            </w:pPr>
          </w:p>
        </w:tc>
      </w:tr>
    </w:tbl>
    <w:p w:rsidR="00747B9A" w:rsidRPr="001F4CB8" w:rsidRDefault="00747B9A" w:rsidP="00747B9A">
      <w:pPr>
        <w:pStyle w:val="BodyTextIndent"/>
        <w:spacing w:before="120" w:after="120"/>
        <w:ind w:left="1843" w:hanging="425"/>
        <w:rPr>
          <w:rFonts w:ascii="Times New Roman" w:hAnsi="Times New Roman"/>
          <w:lang w:val="vi-VN"/>
        </w:rPr>
      </w:pPr>
    </w:p>
    <w:sectPr w:rsidR="00747B9A" w:rsidRPr="001F4CB8" w:rsidSect="00077456">
      <w:footerReference w:type="default" r:id="rId8"/>
      <w:headerReference w:type="first" r:id="rId9"/>
      <w:pgSz w:w="11907" w:h="16840" w:code="9"/>
      <w:pgMar w:top="1418"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CEA" w:rsidRDefault="00FE6CEA" w:rsidP="00DE6F17">
      <w:r>
        <w:separator/>
      </w:r>
    </w:p>
  </w:endnote>
  <w:endnote w:type="continuationSeparator" w:id="1">
    <w:p w:rsidR="00FE6CEA" w:rsidRDefault="00FE6CEA" w:rsidP="00DE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4157"/>
      <w:docPartObj>
        <w:docPartGallery w:val="Page Numbers (Bottom of Page)"/>
        <w:docPartUnique/>
      </w:docPartObj>
    </w:sdtPr>
    <w:sdtContent>
      <w:p w:rsidR="00FA5E44" w:rsidRDefault="006475F1">
        <w:pPr>
          <w:pStyle w:val="Footer"/>
          <w:jc w:val="right"/>
        </w:pPr>
        <w:r>
          <w:fldChar w:fldCharType="begin"/>
        </w:r>
        <w:r w:rsidR="00A56C56">
          <w:instrText xml:space="preserve"> PAGE   \* MERGEFORMAT </w:instrText>
        </w:r>
        <w:r>
          <w:fldChar w:fldCharType="separate"/>
        </w:r>
        <w:r w:rsidR="00BE1F22">
          <w:t>1</w:t>
        </w:r>
        <w:r>
          <w:fldChar w:fldCharType="end"/>
        </w:r>
      </w:p>
    </w:sdtContent>
  </w:sdt>
  <w:p w:rsidR="00FA5E44" w:rsidRDefault="00FA5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CEA" w:rsidRDefault="00FE6CEA" w:rsidP="00DE6F17">
      <w:r>
        <w:separator/>
      </w:r>
    </w:p>
  </w:footnote>
  <w:footnote w:type="continuationSeparator" w:id="1">
    <w:p w:rsidR="00FE6CEA" w:rsidRDefault="00FE6CEA" w:rsidP="00DE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44" w:rsidRPr="000F7437" w:rsidRDefault="00FA5E44">
    <w:pPr>
      <w:pStyle w:val="Header"/>
      <w:rPr>
        <w:i/>
      </w:rPr>
    </w:pPr>
    <w:r w:rsidRPr="00952ECE">
      <w:rPr>
        <w:i/>
      </w:rPr>
      <w:t xml:space="preserve">Draft version 2 - </w:t>
    </w:r>
    <w:r>
      <w:rPr>
        <w:i/>
      </w:rPr>
      <w:t>9</w:t>
    </w:r>
    <w:r w:rsidRPr="00952ECE">
      <w:rPr>
        <w:i/>
      </w:rPr>
      <w:t>.12.2015</w:t>
    </w:r>
  </w:p>
  <w:p w:rsidR="00FA5E44" w:rsidRDefault="00FA5E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6">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6"/>
  </w:num>
  <w:num w:numId="7">
    <w:abstractNumId w:val="15"/>
  </w:num>
  <w:num w:numId="8">
    <w:abstractNumId w:val="5"/>
  </w:num>
  <w:num w:numId="9">
    <w:abstractNumId w:val="14"/>
  </w:num>
  <w:num w:numId="10">
    <w:abstractNumId w:val="9"/>
  </w:num>
  <w:num w:numId="11">
    <w:abstractNumId w:val="1"/>
  </w:num>
  <w:num w:numId="12">
    <w:abstractNumId w:val="3"/>
  </w:num>
  <w:num w:numId="13">
    <w:abstractNumId w:val="13"/>
  </w:num>
  <w:num w:numId="14">
    <w:abstractNumId w:val="18"/>
  </w:num>
  <w:num w:numId="15">
    <w:abstractNumId w:val="10"/>
  </w:num>
  <w:num w:numId="16">
    <w:abstractNumId w:val="11"/>
  </w:num>
  <w:num w:numId="17">
    <w:abstractNumId w:val="2"/>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25822"/>
    <w:rsid w:val="000130B4"/>
    <w:rsid w:val="00013426"/>
    <w:rsid w:val="0001403C"/>
    <w:rsid w:val="00023698"/>
    <w:rsid w:val="00033B62"/>
    <w:rsid w:val="000349C3"/>
    <w:rsid w:val="000537D5"/>
    <w:rsid w:val="000601AA"/>
    <w:rsid w:val="00064F19"/>
    <w:rsid w:val="000733B2"/>
    <w:rsid w:val="00075730"/>
    <w:rsid w:val="00077456"/>
    <w:rsid w:val="00092280"/>
    <w:rsid w:val="000A0213"/>
    <w:rsid w:val="000B6C5B"/>
    <w:rsid w:val="000C2A26"/>
    <w:rsid w:val="000C307A"/>
    <w:rsid w:val="000C450C"/>
    <w:rsid w:val="000E7E5D"/>
    <w:rsid w:val="000F2163"/>
    <w:rsid w:val="000F2C1B"/>
    <w:rsid w:val="000F7437"/>
    <w:rsid w:val="00103245"/>
    <w:rsid w:val="001048BC"/>
    <w:rsid w:val="0011147B"/>
    <w:rsid w:val="001236A0"/>
    <w:rsid w:val="00133C54"/>
    <w:rsid w:val="0014360F"/>
    <w:rsid w:val="00146F35"/>
    <w:rsid w:val="00151ADE"/>
    <w:rsid w:val="001538D2"/>
    <w:rsid w:val="00156B27"/>
    <w:rsid w:val="00160CD4"/>
    <w:rsid w:val="0017655D"/>
    <w:rsid w:val="00193790"/>
    <w:rsid w:val="001A0301"/>
    <w:rsid w:val="001A35DB"/>
    <w:rsid w:val="001B07E6"/>
    <w:rsid w:val="001B0E38"/>
    <w:rsid w:val="001C0355"/>
    <w:rsid w:val="001C15ED"/>
    <w:rsid w:val="001D0840"/>
    <w:rsid w:val="001D6398"/>
    <w:rsid w:val="001E2551"/>
    <w:rsid w:val="001E41B7"/>
    <w:rsid w:val="001E56CC"/>
    <w:rsid w:val="001F4CB8"/>
    <w:rsid w:val="001F587C"/>
    <w:rsid w:val="00203405"/>
    <w:rsid w:val="002137FB"/>
    <w:rsid w:val="002201C7"/>
    <w:rsid w:val="00221358"/>
    <w:rsid w:val="00225673"/>
    <w:rsid w:val="00225822"/>
    <w:rsid w:val="002319B9"/>
    <w:rsid w:val="0023484A"/>
    <w:rsid w:val="002400C5"/>
    <w:rsid w:val="0024551B"/>
    <w:rsid w:val="00266B0E"/>
    <w:rsid w:val="00270A35"/>
    <w:rsid w:val="00271BD9"/>
    <w:rsid w:val="00282D14"/>
    <w:rsid w:val="002941EB"/>
    <w:rsid w:val="00296DD6"/>
    <w:rsid w:val="002A5125"/>
    <w:rsid w:val="002B44D4"/>
    <w:rsid w:val="002C44A3"/>
    <w:rsid w:val="002C6EE8"/>
    <w:rsid w:val="002D5550"/>
    <w:rsid w:val="002D5C06"/>
    <w:rsid w:val="002F224F"/>
    <w:rsid w:val="002F49FA"/>
    <w:rsid w:val="003014D3"/>
    <w:rsid w:val="00306D24"/>
    <w:rsid w:val="00310A1E"/>
    <w:rsid w:val="0031330A"/>
    <w:rsid w:val="00323A4D"/>
    <w:rsid w:val="0032587D"/>
    <w:rsid w:val="00331670"/>
    <w:rsid w:val="00340B20"/>
    <w:rsid w:val="003449AA"/>
    <w:rsid w:val="00363831"/>
    <w:rsid w:val="0037457B"/>
    <w:rsid w:val="00381208"/>
    <w:rsid w:val="00392175"/>
    <w:rsid w:val="00393741"/>
    <w:rsid w:val="00393D3D"/>
    <w:rsid w:val="003A7F67"/>
    <w:rsid w:val="003B271E"/>
    <w:rsid w:val="003C159E"/>
    <w:rsid w:val="003C2B70"/>
    <w:rsid w:val="003D66E8"/>
    <w:rsid w:val="003E036D"/>
    <w:rsid w:val="003E40EA"/>
    <w:rsid w:val="0040393C"/>
    <w:rsid w:val="004135F3"/>
    <w:rsid w:val="00415127"/>
    <w:rsid w:val="004210B1"/>
    <w:rsid w:val="00463D65"/>
    <w:rsid w:val="00465A3F"/>
    <w:rsid w:val="00465C38"/>
    <w:rsid w:val="00472E83"/>
    <w:rsid w:val="00475689"/>
    <w:rsid w:val="0047588F"/>
    <w:rsid w:val="00476F8B"/>
    <w:rsid w:val="00482D89"/>
    <w:rsid w:val="0049141F"/>
    <w:rsid w:val="004914B4"/>
    <w:rsid w:val="004926E0"/>
    <w:rsid w:val="004A0094"/>
    <w:rsid w:val="004A4790"/>
    <w:rsid w:val="004A6795"/>
    <w:rsid w:val="004A7077"/>
    <w:rsid w:val="004B2EA1"/>
    <w:rsid w:val="004B63D3"/>
    <w:rsid w:val="004C101B"/>
    <w:rsid w:val="004D3A80"/>
    <w:rsid w:val="004E47D2"/>
    <w:rsid w:val="004E593D"/>
    <w:rsid w:val="004E62C6"/>
    <w:rsid w:val="004F3D14"/>
    <w:rsid w:val="004F5694"/>
    <w:rsid w:val="004F5CFC"/>
    <w:rsid w:val="00502338"/>
    <w:rsid w:val="00506C8A"/>
    <w:rsid w:val="005073D5"/>
    <w:rsid w:val="00516037"/>
    <w:rsid w:val="00521E93"/>
    <w:rsid w:val="00524CA7"/>
    <w:rsid w:val="005306D8"/>
    <w:rsid w:val="00530D42"/>
    <w:rsid w:val="00553625"/>
    <w:rsid w:val="00564E64"/>
    <w:rsid w:val="005808FE"/>
    <w:rsid w:val="0058455E"/>
    <w:rsid w:val="00586B4F"/>
    <w:rsid w:val="005922FD"/>
    <w:rsid w:val="005A0568"/>
    <w:rsid w:val="005A3A20"/>
    <w:rsid w:val="005A5B2F"/>
    <w:rsid w:val="005A5F06"/>
    <w:rsid w:val="005A6D70"/>
    <w:rsid w:val="005B1126"/>
    <w:rsid w:val="005B7B4F"/>
    <w:rsid w:val="005C54E3"/>
    <w:rsid w:val="005D1CA3"/>
    <w:rsid w:val="005E4AC1"/>
    <w:rsid w:val="005E667C"/>
    <w:rsid w:val="005E675B"/>
    <w:rsid w:val="005F44C3"/>
    <w:rsid w:val="005F5BEA"/>
    <w:rsid w:val="0061415D"/>
    <w:rsid w:val="00617487"/>
    <w:rsid w:val="00642608"/>
    <w:rsid w:val="006426F4"/>
    <w:rsid w:val="00643077"/>
    <w:rsid w:val="006475F1"/>
    <w:rsid w:val="00654F46"/>
    <w:rsid w:val="00663D9A"/>
    <w:rsid w:val="00665F97"/>
    <w:rsid w:val="00671A4E"/>
    <w:rsid w:val="006801B2"/>
    <w:rsid w:val="006A5518"/>
    <w:rsid w:val="006B0D6B"/>
    <w:rsid w:val="006B2BEC"/>
    <w:rsid w:val="006B6F74"/>
    <w:rsid w:val="006C5131"/>
    <w:rsid w:val="006C7E5C"/>
    <w:rsid w:val="006D1677"/>
    <w:rsid w:val="006D555B"/>
    <w:rsid w:val="006F4ED8"/>
    <w:rsid w:val="006F73AF"/>
    <w:rsid w:val="006F7CC7"/>
    <w:rsid w:val="007057DC"/>
    <w:rsid w:val="00705CBB"/>
    <w:rsid w:val="00715381"/>
    <w:rsid w:val="00717707"/>
    <w:rsid w:val="00723418"/>
    <w:rsid w:val="00724AB5"/>
    <w:rsid w:val="00726B47"/>
    <w:rsid w:val="00727BDC"/>
    <w:rsid w:val="00727E11"/>
    <w:rsid w:val="00734A9D"/>
    <w:rsid w:val="00747B9A"/>
    <w:rsid w:val="0075262D"/>
    <w:rsid w:val="007558C6"/>
    <w:rsid w:val="007601F3"/>
    <w:rsid w:val="00761591"/>
    <w:rsid w:val="00766C97"/>
    <w:rsid w:val="00792DE5"/>
    <w:rsid w:val="007959FE"/>
    <w:rsid w:val="00796A0C"/>
    <w:rsid w:val="007A04B3"/>
    <w:rsid w:val="007A13B8"/>
    <w:rsid w:val="007A6D4C"/>
    <w:rsid w:val="007B54CA"/>
    <w:rsid w:val="007C365B"/>
    <w:rsid w:val="007D2BF8"/>
    <w:rsid w:val="007D6BB8"/>
    <w:rsid w:val="007E6336"/>
    <w:rsid w:val="00802F55"/>
    <w:rsid w:val="00832E91"/>
    <w:rsid w:val="00834313"/>
    <w:rsid w:val="00836E20"/>
    <w:rsid w:val="00850EFB"/>
    <w:rsid w:val="0085180D"/>
    <w:rsid w:val="00853A9D"/>
    <w:rsid w:val="00861945"/>
    <w:rsid w:val="00864A2F"/>
    <w:rsid w:val="008668C2"/>
    <w:rsid w:val="008B3E63"/>
    <w:rsid w:val="008B6653"/>
    <w:rsid w:val="008C3976"/>
    <w:rsid w:val="008C3A68"/>
    <w:rsid w:val="008D20B6"/>
    <w:rsid w:val="008E207D"/>
    <w:rsid w:val="008F13F2"/>
    <w:rsid w:val="00907CFD"/>
    <w:rsid w:val="009271CD"/>
    <w:rsid w:val="00933DA1"/>
    <w:rsid w:val="00935CB5"/>
    <w:rsid w:val="0094434F"/>
    <w:rsid w:val="009478C8"/>
    <w:rsid w:val="009518CF"/>
    <w:rsid w:val="0095409E"/>
    <w:rsid w:val="0096115C"/>
    <w:rsid w:val="00971FD1"/>
    <w:rsid w:val="00981858"/>
    <w:rsid w:val="00986CF2"/>
    <w:rsid w:val="009978F5"/>
    <w:rsid w:val="009A00F4"/>
    <w:rsid w:val="009A2A24"/>
    <w:rsid w:val="009B49CE"/>
    <w:rsid w:val="009B4D3A"/>
    <w:rsid w:val="009E1000"/>
    <w:rsid w:val="009F5FE9"/>
    <w:rsid w:val="009F77F0"/>
    <w:rsid w:val="00A07163"/>
    <w:rsid w:val="00A07302"/>
    <w:rsid w:val="00A4472D"/>
    <w:rsid w:val="00A44D28"/>
    <w:rsid w:val="00A4738F"/>
    <w:rsid w:val="00A47549"/>
    <w:rsid w:val="00A53417"/>
    <w:rsid w:val="00A56C56"/>
    <w:rsid w:val="00A56E64"/>
    <w:rsid w:val="00A57B5A"/>
    <w:rsid w:val="00A61C44"/>
    <w:rsid w:val="00A646FA"/>
    <w:rsid w:val="00A701AF"/>
    <w:rsid w:val="00A811CC"/>
    <w:rsid w:val="00A91409"/>
    <w:rsid w:val="00A91EE9"/>
    <w:rsid w:val="00A9642F"/>
    <w:rsid w:val="00AA5ACA"/>
    <w:rsid w:val="00AA748D"/>
    <w:rsid w:val="00AC2872"/>
    <w:rsid w:val="00AD7B9A"/>
    <w:rsid w:val="00AE4094"/>
    <w:rsid w:val="00AF0175"/>
    <w:rsid w:val="00AF2E7B"/>
    <w:rsid w:val="00B10039"/>
    <w:rsid w:val="00B12663"/>
    <w:rsid w:val="00B17170"/>
    <w:rsid w:val="00B26292"/>
    <w:rsid w:val="00B2757D"/>
    <w:rsid w:val="00B42048"/>
    <w:rsid w:val="00B42A82"/>
    <w:rsid w:val="00B45901"/>
    <w:rsid w:val="00B6041A"/>
    <w:rsid w:val="00B66A61"/>
    <w:rsid w:val="00B70541"/>
    <w:rsid w:val="00B73E89"/>
    <w:rsid w:val="00B8115A"/>
    <w:rsid w:val="00B8182C"/>
    <w:rsid w:val="00B830D1"/>
    <w:rsid w:val="00B85760"/>
    <w:rsid w:val="00B86FCB"/>
    <w:rsid w:val="00B872DE"/>
    <w:rsid w:val="00BA3FE8"/>
    <w:rsid w:val="00BB3FBD"/>
    <w:rsid w:val="00BD4672"/>
    <w:rsid w:val="00BD4858"/>
    <w:rsid w:val="00BD65D1"/>
    <w:rsid w:val="00BE1F22"/>
    <w:rsid w:val="00BF445B"/>
    <w:rsid w:val="00C077B1"/>
    <w:rsid w:val="00C07DEB"/>
    <w:rsid w:val="00C1777E"/>
    <w:rsid w:val="00C3406B"/>
    <w:rsid w:val="00C37521"/>
    <w:rsid w:val="00C751EE"/>
    <w:rsid w:val="00C75D6F"/>
    <w:rsid w:val="00C83F1B"/>
    <w:rsid w:val="00C97447"/>
    <w:rsid w:val="00CA52C6"/>
    <w:rsid w:val="00CB1309"/>
    <w:rsid w:val="00CB75A5"/>
    <w:rsid w:val="00CC634C"/>
    <w:rsid w:val="00CD0AA1"/>
    <w:rsid w:val="00CD2C7A"/>
    <w:rsid w:val="00CD795B"/>
    <w:rsid w:val="00CD7DFD"/>
    <w:rsid w:val="00CE36CD"/>
    <w:rsid w:val="00CF29E1"/>
    <w:rsid w:val="00CF5F91"/>
    <w:rsid w:val="00D04457"/>
    <w:rsid w:val="00D072C6"/>
    <w:rsid w:val="00D17A5A"/>
    <w:rsid w:val="00D3327D"/>
    <w:rsid w:val="00D34AEB"/>
    <w:rsid w:val="00D35001"/>
    <w:rsid w:val="00D51AB7"/>
    <w:rsid w:val="00D737FD"/>
    <w:rsid w:val="00D73B17"/>
    <w:rsid w:val="00D83596"/>
    <w:rsid w:val="00D9044E"/>
    <w:rsid w:val="00D9267F"/>
    <w:rsid w:val="00D96690"/>
    <w:rsid w:val="00DC0C6D"/>
    <w:rsid w:val="00DD19FC"/>
    <w:rsid w:val="00DD207E"/>
    <w:rsid w:val="00DD430A"/>
    <w:rsid w:val="00DD5F19"/>
    <w:rsid w:val="00DD7B59"/>
    <w:rsid w:val="00DE0224"/>
    <w:rsid w:val="00DE16D4"/>
    <w:rsid w:val="00DE6F17"/>
    <w:rsid w:val="00E05488"/>
    <w:rsid w:val="00E05552"/>
    <w:rsid w:val="00E1368D"/>
    <w:rsid w:val="00E14BEC"/>
    <w:rsid w:val="00E1721E"/>
    <w:rsid w:val="00E20025"/>
    <w:rsid w:val="00E302D4"/>
    <w:rsid w:val="00E3121D"/>
    <w:rsid w:val="00E319C7"/>
    <w:rsid w:val="00E33020"/>
    <w:rsid w:val="00E36897"/>
    <w:rsid w:val="00E45E21"/>
    <w:rsid w:val="00E54897"/>
    <w:rsid w:val="00E5618D"/>
    <w:rsid w:val="00E6709C"/>
    <w:rsid w:val="00E67C8A"/>
    <w:rsid w:val="00E71BD7"/>
    <w:rsid w:val="00E81DF2"/>
    <w:rsid w:val="00E82D3B"/>
    <w:rsid w:val="00E84978"/>
    <w:rsid w:val="00E84A69"/>
    <w:rsid w:val="00EA1DA2"/>
    <w:rsid w:val="00EA43FA"/>
    <w:rsid w:val="00EA6234"/>
    <w:rsid w:val="00EA7B42"/>
    <w:rsid w:val="00EB1C2B"/>
    <w:rsid w:val="00EB650E"/>
    <w:rsid w:val="00EC0585"/>
    <w:rsid w:val="00EC120B"/>
    <w:rsid w:val="00EC7078"/>
    <w:rsid w:val="00EE0097"/>
    <w:rsid w:val="00EE1572"/>
    <w:rsid w:val="00EE177D"/>
    <w:rsid w:val="00EF2EF9"/>
    <w:rsid w:val="00EF3173"/>
    <w:rsid w:val="00EF44BB"/>
    <w:rsid w:val="00EF50EC"/>
    <w:rsid w:val="00EF6287"/>
    <w:rsid w:val="00F07059"/>
    <w:rsid w:val="00F10328"/>
    <w:rsid w:val="00F236E3"/>
    <w:rsid w:val="00F2622D"/>
    <w:rsid w:val="00F26FD0"/>
    <w:rsid w:val="00F354BF"/>
    <w:rsid w:val="00F35B4B"/>
    <w:rsid w:val="00F463A5"/>
    <w:rsid w:val="00F5220C"/>
    <w:rsid w:val="00F70186"/>
    <w:rsid w:val="00F841AD"/>
    <w:rsid w:val="00FA5CAD"/>
    <w:rsid w:val="00FA5E44"/>
    <w:rsid w:val="00FC4484"/>
    <w:rsid w:val="00FD2F95"/>
    <w:rsid w:val="00FD4D69"/>
    <w:rsid w:val="00FD6844"/>
    <w:rsid w:val="00FE6CEA"/>
    <w:rsid w:val="00FE7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4" type="connector" idref="#_x0000_s1041"/>
        <o:r id="V:Rule5" type="connector" idref="#_x0000_s1045"/>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0A26B-3526-4B4E-8EE8-0BD30A8C477C}"/>
</file>

<file path=customXml/itemProps2.xml><?xml version="1.0" encoding="utf-8"?>
<ds:datastoreItem xmlns:ds="http://schemas.openxmlformats.org/officeDocument/2006/customXml" ds:itemID="{2F77BF18-8F38-4033-BDC1-2D590183FBFD}"/>
</file>

<file path=customXml/itemProps3.xml><?xml version="1.0" encoding="utf-8"?>
<ds:datastoreItem xmlns:ds="http://schemas.openxmlformats.org/officeDocument/2006/customXml" ds:itemID="{E6958B8F-EC2E-4D32-88D5-F12A4E5F2CC5}"/>
</file>

<file path=customXml/itemProps4.xml><?xml version="1.0" encoding="utf-8"?>
<ds:datastoreItem xmlns:ds="http://schemas.openxmlformats.org/officeDocument/2006/customXml" ds:itemID="{7B2EF6FB-1FF9-4D9A-B76A-407FB2B94973}"/>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UBCK44</cp:lastModifiedBy>
  <cp:revision>2</cp:revision>
  <cp:lastPrinted>2016-05-27T07:39:00Z</cp:lastPrinted>
  <dcterms:created xsi:type="dcterms:W3CDTF">2016-06-11T09:49:00Z</dcterms:created>
  <dcterms:modified xsi:type="dcterms:W3CDTF">2016-06-11T09:49:00Z</dcterms:modified>
</cp:coreProperties>
</file>